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B2B" w:rsidRPr="000A4898" w:rsidRDefault="00EE639F" w:rsidP="004D6B2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ТЕНДЕНЦИИ РАЗВИТИЯ ЕВРОПЕЙСКОГО МУЖСКОГО ГАНДБОЛА В ОЛИМПИЙСКИХ ЦИКЛАХ 2008-2016 ГОДОВ И ПЕРСПЕКТИВЫ РОСТА РЕЗУЛЬТАТОВ СБОРНОЙ КОМАНДЫ РОССИИ</w:t>
      </w:r>
    </w:p>
    <w:p w:rsidR="004D6B2B" w:rsidRPr="001E639C" w:rsidRDefault="004D6B2B" w:rsidP="004D6B2B">
      <w:pPr>
        <w:rPr>
          <w:sz w:val="16"/>
          <w:szCs w:val="16"/>
        </w:rPr>
      </w:pPr>
      <w:r>
        <w:t>______________________________________________</w:t>
      </w:r>
      <w:r w:rsidR="00C9341A">
        <w:t>________________________________</w:t>
      </w:r>
      <w:r>
        <w:t>__</w:t>
      </w:r>
    </w:p>
    <w:p w:rsidR="00C9341A" w:rsidRPr="003C1924" w:rsidRDefault="00EE639F" w:rsidP="00C9341A">
      <w:pPr>
        <w:jc w:val="both"/>
        <w:rPr>
          <w:b/>
        </w:rPr>
      </w:pPr>
      <w:r>
        <w:rPr>
          <w:b/>
        </w:rPr>
        <w:t>Ю.Г. Зайцев</w:t>
      </w:r>
      <w:r w:rsidR="00C9341A">
        <w:rPr>
          <w:b/>
        </w:rPr>
        <w:t xml:space="preserve">, </w:t>
      </w:r>
      <w:r>
        <w:rPr>
          <w:b/>
        </w:rPr>
        <w:t>доцент</w:t>
      </w:r>
      <w:r w:rsidR="00C9341A">
        <w:rPr>
          <w:b/>
        </w:rPr>
        <w:t xml:space="preserve"> кафедр</w:t>
      </w:r>
      <w:r>
        <w:rPr>
          <w:b/>
        </w:rPr>
        <w:t xml:space="preserve">ы </w:t>
      </w:r>
      <w:r w:rsidR="00C9341A">
        <w:rPr>
          <w:b/>
        </w:rPr>
        <w:t>теории и методики спортивных игр</w:t>
      </w:r>
      <w:r w:rsidR="007E2671">
        <w:rPr>
          <w:b/>
        </w:rPr>
        <w:t>,</w:t>
      </w:r>
      <w:r w:rsidR="00C9341A">
        <w:rPr>
          <w:b/>
        </w:rPr>
        <w:t xml:space="preserve"> </w:t>
      </w:r>
      <w:r w:rsidR="00C9341A" w:rsidRPr="003C1924">
        <w:rPr>
          <w:b/>
        </w:rPr>
        <w:t>Кубанск</w:t>
      </w:r>
      <w:r w:rsidR="00F827AF">
        <w:rPr>
          <w:b/>
        </w:rPr>
        <w:t>ий</w:t>
      </w:r>
      <w:r w:rsidR="00C9341A">
        <w:rPr>
          <w:b/>
        </w:rPr>
        <w:t xml:space="preserve"> государственн</w:t>
      </w:r>
      <w:r w:rsidR="00F827AF">
        <w:rPr>
          <w:b/>
        </w:rPr>
        <w:t>ый</w:t>
      </w:r>
      <w:r w:rsidR="00C9341A" w:rsidRPr="003C1924">
        <w:rPr>
          <w:b/>
        </w:rPr>
        <w:t xml:space="preserve"> университет физической культуры, спорта и туризма</w:t>
      </w:r>
      <w:r w:rsidR="00F827AF">
        <w:rPr>
          <w:b/>
        </w:rPr>
        <w:t>, г. Краснодар</w:t>
      </w:r>
    </w:p>
    <w:p w:rsidR="00EE639F" w:rsidRDefault="00EE639F" w:rsidP="00EE639F">
      <w:pPr>
        <w:jc w:val="both"/>
        <w:rPr>
          <w:b/>
        </w:rPr>
      </w:pPr>
      <w:r>
        <w:rPr>
          <w:b/>
        </w:rPr>
        <w:t xml:space="preserve">О.Ю. </w:t>
      </w:r>
      <w:r w:rsidR="0021219C">
        <w:rPr>
          <w:b/>
        </w:rPr>
        <w:t>Чашкова</w:t>
      </w:r>
      <w:r>
        <w:rPr>
          <w:b/>
        </w:rPr>
        <w:t xml:space="preserve">, старший преподаватель кафедры физического воспитания и спорта, </w:t>
      </w:r>
      <w:r w:rsidRPr="003C1924">
        <w:rPr>
          <w:b/>
        </w:rPr>
        <w:t>Кубанск</w:t>
      </w:r>
      <w:r>
        <w:rPr>
          <w:b/>
        </w:rPr>
        <w:t>ий государственный</w:t>
      </w:r>
      <w:r w:rsidRPr="003C1924">
        <w:rPr>
          <w:b/>
        </w:rPr>
        <w:t xml:space="preserve"> </w:t>
      </w:r>
      <w:r>
        <w:rPr>
          <w:b/>
        </w:rPr>
        <w:t xml:space="preserve">технологический </w:t>
      </w:r>
      <w:r w:rsidRPr="003C1924">
        <w:rPr>
          <w:b/>
        </w:rPr>
        <w:t>университет</w:t>
      </w:r>
      <w:r>
        <w:rPr>
          <w:b/>
        </w:rPr>
        <w:t>, г. Краснодар</w:t>
      </w:r>
    </w:p>
    <w:p w:rsidR="00667841" w:rsidRPr="003C1924" w:rsidRDefault="00667841" w:rsidP="00667841">
      <w:pPr>
        <w:jc w:val="both"/>
        <w:rPr>
          <w:b/>
        </w:rPr>
      </w:pPr>
      <w:r>
        <w:rPr>
          <w:b/>
        </w:rPr>
        <w:t xml:space="preserve">В.В. Костюков, доктор педагогических наук, профессор, заведующий кафедрой теории и методики спортивных игр, </w:t>
      </w:r>
      <w:r w:rsidRPr="003C1924">
        <w:rPr>
          <w:b/>
        </w:rPr>
        <w:t>Кубанск</w:t>
      </w:r>
      <w:r>
        <w:rPr>
          <w:b/>
        </w:rPr>
        <w:t>ий государственный</w:t>
      </w:r>
      <w:r w:rsidRPr="003C1924">
        <w:rPr>
          <w:b/>
        </w:rPr>
        <w:t xml:space="preserve"> университет физической культуры, спорта и туризма</w:t>
      </w:r>
      <w:r>
        <w:rPr>
          <w:b/>
        </w:rPr>
        <w:t>, г. Краснодар</w:t>
      </w:r>
    </w:p>
    <w:p w:rsidR="004D6B2B" w:rsidRPr="00D45486" w:rsidRDefault="004D6B2B" w:rsidP="00C9341A">
      <w:pPr>
        <w:jc w:val="both"/>
        <w:rPr>
          <w:b/>
        </w:rPr>
      </w:pPr>
      <w:r w:rsidRPr="00D45486">
        <w:rPr>
          <w:b/>
        </w:rPr>
        <w:t>Контактная информация для переписки: 350015,</w:t>
      </w:r>
      <w:r w:rsidR="00E22644">
        <w:rPr>
          <w:b/>
        </w:rPr>
        <w:t xml:space="preserve"> Россия,</w:t>
      </w:r>
      <w:r w:rsidRPr="00D45486">
        <w:rPr>
          <w:b/>
        </w:rPr>
        <w:t xml:space="preserve"> г. Краснодар, ул. Буденного, 161 </w:t>
      </w:r>
    </w:p>
    <w:p w:rsidR="004D6B2B" w:rsidRPr="001E639C" w:rsidRDefault="004D6B2B" w:rsidP="00C9341A">
      <w:pPr>
        <w:widowControl w:val="0"/>
        <w:jc w:val="both"/>
        <w:rPr>
          <w:sz w:val="16"/>
          <w:szCs w:val="16"/>
        </w:rPr>
      </w:pPr>
      <w:r>
        <w:t>_______________________________</w:t>
      </w:r>
      <w:r w:rsidR="00C9341A">
        <w:t>__________________________</w:t>
      </w:r>
      <w:r>
        <w:t>_______________________</w:t>
      </w:r>
    </w:p>
    <w:p w:rsidR="004D6B2B" w:rsidRPr="001E639C" w:rsidRDefault="004D6B2B" w:rsidP="004D6B2B">
      <w:pPr>
        <w:spacing w:line="360" w:lineRule="auto"/>
        <w:ind w:firstLine="709"/>
        <w:jc w:val="both"/>
        <w:rPr>
          <w:b/>
          <w:sz w:val="10"/>
          <w:szCs w:val="10"/>
        </w:rPr>
      </w:pPr>
    </w:p>
    <w:p w:rsidR="00EE639F" w:rsidRDefault="00E22644" w:rsidP="00EE639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Аннотация: </w:t>
      </w:r>
    </w:p>
    <w:p w:rsidR="00EE639F" w:rsidRDefault="0091189A" w:rsidP="00EE639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статье представлены результаты анализа одной из тенденций развития современного мужского гандбола – увеличение в лучших зарубежных сборных и клубных командах числа высокорослых (длина тела свыше 187 см) крайних игроков, повлекшее за собой повышени</w:t>
      </w:r>
      <w:r w:rsidR="00813F2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результативности атакующих действий.</w:t>
      </w:r>
    </w:p>
    <w:p w:rsidR="0091189A" w:rsidRDefault="0091189A" w:rsidP="00EE639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эффективности атакующих действий 50-ти самых результативных гандболистов различных амплуа на пяти чемпионатах Европы, прошедших в период с 2008 до 2016 года, позволил</w:t>
      </w:r>
      <w:r w:rsidR="00813F2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выявить следующее: когда доля высоких крайних игроков в сборных командах составляла 50% от их общего числа, результативность атакующих действий достигала 38-40%, когда число высоких крайних игро</w:t>
      </w:r>
      <w:r w:rsidR="00813F29">
        <w:rPr>
          <w:b/>
          <w:sz w:val="28"/>
          <w:szCs w:val="28"/>
        </w:rPr>
        <w:t>ков этого амплуа не превышало 2</w:t>
      </w:r>
      <w:r>
        <w:rPr>
          <w:b/>
          <w:sz w:val="28"/>
          <w:szCs w:val="28"/>
        </w:rPr>
        <w:t>5%, результативность атакующих действий не превышала 30%.</w:t>
      </w:r>
    </w:p>
    <w:p w:rsidR="0091189A" w:rsidRDefault="0091189A" w:rsidP="00EE639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Тенденция</w:t>
      </w:r>
      <w:r w:rsidR="00E240BC">
        <w:rPr>
          <w:b/>
          <w:sz w:val="28"/>
          <w:szCs w:val="28"/>
        </w:rPr>
        <w:t xml:space="preserve"> включения в составы команд высоких крайних игроков прослеживается и в лучших клу</w:t>
      </w:r>
      <w:r w:rsidR="00813F29">
        <w:rPr>
          <w:b/>
          <w:sz w:val="28"/>
          <w:szCs w:val="28"/>
        </w:rPr>
        <w:t>бных командах европейских стран -</w:t>
      </w:r>
      <w:r w:rsidR="00E240BC">
        <w:rPr>
          <w:b/>
          <w:sz w:val="28"/>
          <w:szCs w:val="28"/>
        </w:rPr>
        <w:t xml:space="preserve"> лидеров мирового гандбола. В них доля высоких крайних игроков составля</w:t>
      </w:r>
      <w:r w:rsidR="00813F29">
        <w:rPr>
          <w:b/>
          <w:sz w:val="28"/>
          <w:szCs w:val="28"/>
        </w:rPr>
        <w:t>ет</w:t>
      </w:r>
      <w:r w:rsidR="00E240BC">
        <w:rPr>
          <w:b/>
          <w:sz w:val="28"/>
          <w:szCs w:val="28"/>
        </w:rPr>
        <w:t xml:space="preserve"> от 40-42% (команды Венгрии и Франции) до 60-70% (команды Польши и Германии) в среднем на группе составляя 53%, то есть больше половины.</w:t>
      </w:r>
    </w:p>
    <w:p w:rsidR="00E240BC" w:rsidRDefault="00E240BC" w:rsidP="00EE639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Среди лучших шести мужских клубных команд чемпионата России по гандболу 2016 года этот показатель составляет 19,7%, что в 2,7 раза меньше, чем в лучших европейских клубах.</w:t>
      </w:r>
    </w:p>
    <w:p w:rsidR="00FB4FC3" w:rsidRPr="00813F29" w:rsidRDefault="00E240BC" w:rsidP="00813F29">
      <w:pPr>
        <w:spacing w:line="360" w:lineRule="auto"/>
        <w:ind w:firstLine="709"/>
        <w:jc w:val="both"/>
        <w:rPr>
          <w:b/>
          <w:spacing w:val="4"/>
          <w:sz w:val="28"/>
          <w:szCs w:val="28"/>
        </w:rPr>
      </w:pPr>
      <w:r w:rsidRPr="00813F29">
        <w:rPr>
          <w:b/>
          <w:spacing w:val="4"/>
          <w:sz w:val="28"/>
          <w:szCs w:val="28"/>
        </w:rPr>
        <w:t>Отмеченн</w:t>
      </w:r>
      <w:r w:rsidR="00FB4FC3" w:rsidRPr="00813F29">
        <w:rPr>
          <w:b/>
          <w:spacing w:val="4"/>
          <w:sz w:val="28"/>
          <w:szCs w:val="28"/>
        </w:rPr>
        <w:t>о</w:t>
      </w:r>
      <w:r w:rsidRPr="00813F29">
        <w:rPr>
          <w:b/>
          <w:spacing w:val="4"/>
          <w:sz w:val="28"/>
          <w:szCs w:val="28"/>
        </w:rPr>
        <w:t>е отс</w:t>
      </w:r>
      <w:r w:rsidR="00FB4FC3" w:rsidRPr="00813F29">
        <w:rPr>
          <w:b/>
          <w:spacing w:val="4"/>
          <w:sz w:val="28"/>
          <w:szCs w:val="28"/>
        </w:rPr>
        <w:t>тавание является одной из причин невыразительной игры р</w:t>
      </w:r>
      <w:r w:rsidR="00813F29" w:rsidRPr="00813F29">
        <w:rPr>
          <w:b/>
          <w:spacing w:val="4"/>
          <w:sz w:val="28"/>
          <w:szCs w:val="28"/>
        </w:rPr>
        <w:t>оссиян в международных турнирах. Ц</w:t>
      </w:r>
      <w:r w:rsidR="00FB4FC3" w:rsidRPr="00813F29">
        <w:rPr>
          <w:b/>
          <w:spacing w:val="4"/>
          <w:sz w:val="28"/>
          <w:szCs w:val="28"/>
        </w:rPr>
        <w:t>еленаправленная подготовка высокорослых крайних игроков в российских гандбольных клубах будет способствовать росту их атакующего потенциала и повышению конкурентоспособности на международной арене.</w:t>
      </w:r>
    </w:p>
    <w:p w:rsidR="00450981" w:rsidRPr="00AC52AC" w:rsidRDefault="00450981" w:rsidP="00EE639F">
      <w:pPr>
        <w:spacing w:line="360" w:lineRule="auto"/>
        <w:ind w:firstLine="709"/>
        <w:jc w:val="both"/>
        <w:rPr>
          <w:sz w:val="28"/>
          <w:szCs w:val="28"/>
        </w:rPr>
      </w:pPr>
      <w:r w:rsidRPr="00AC52AC">
        <w:rPr>
          <w:b/>
          <w:sz w:val="28"/>
          <w:szCs w:val="28"/>
        </w:rPr>
        <w:t>Ключевые слова:</w:t>
      </w:r>
      <w:r w:rsidR="00AE0602" w:rsidRPr="00AC52AC">
        <w:rPr>
          <w:sz w:val="28"/>
          <w:szCs w:val="28"/>
        </w:rPr>
        <w:t xml:space="preserve"> </w:t>
      </w:r>
      <w:r w:rsidR="00EE639F" w:rsidRPr="00AC52AC">
        <w:rPr>
          <w:sz w:val="28"/>
          <w:szCs w:val="28"/>
        </w:rPr>
        <w:t>гандбол, тенденции развития, мужские команды, крайние игроки, результативность атакующих действий</w:t>
      </w:r>
      <w:r w:rsidR="00F827AF" w:rsidRPr="00AC52AC">
        <w:rPr>
          <w:sz w:val="28"/>
          <w:szCs w:val="28"/>
        </w:rPr>
        <w:t>.</w:t>
      </w:r>
    </w:p>
    <w:p w:rsidR="008466B1" w:rsidRPr="00AC52AC" w:rsidRDefault="00AE0602" w:rsidP="004D6B2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C52AC">
        <w:rPr>
          <w:b/>
          <w:sz w:val="28"/>
          <w:szCs w:val="28"/>
        </w:rPr>
        <w:t>Актуальность</w:t>
      </w:r>
      <w:r w:rsidR="00450981" w:rsidRPr="00AC52AC">
        <w:rPr>
          <w:b/>
          <w:sz w:val="28"/>
          <w:szCs w:val="28"/>
        </w:rPr>
        <w:t xml:space="preserve">. </w:t>
      </w:r>
      <w:r w:rsidR="008466B1" w:rsidRPr="00AC52AC">
        <w:rPr>
          <w:sz w:val="28"/>
          <w:szCs w:val="28"/>
        </w:rPr>
        <w:t xml:space="preserve">В настоящее время учет тенденций развития различных видов спорта на международной арене используется как резерв повышения эффективности процесса подготовки высококвалифицированных спортсменов в нашей стране и повышения </w:t>
      </w:r>
      <w:r w:rsidR="00976AA1">
        <w:rPr>
          <w:sz w:val="28"/>
          <w:szCs w:val="28"/>
        </w:rPr>
        <w:t>их конкурентоспособности</w:t>
      </w:r>
      <w:r w:rsidR="008466B1" w:rsidRPr="00AC52AC">
        <w:rPr>
          <w:sz w:val="28"/>
          <w:szCs w:val="28"/>
        </w:rPr>
        <w:t xml:space="preserve"> на международной арене [1,3].</w:t>
      </w:r>
    </w:p>
    <w:p w:rsidR="00AE0602" w:rsidRPr="00AC52AC" w:rsidRDefault="00EE639F" w:rsidP="004D6B2B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AC52AC">
        <w:rPr>
          <w:spacing w:val="2"/>
          <w:sz w:val="28"/>
          <w:szCs w:val="28"/>
        </w:rPr>
        <w:t>В мировом мужском гандболе наиболее сильным и популярным является европейский, так как команды только этого контингента завоевывают первые места на всех чемпионатах мира и Олимпийских играх последних десятилетий и нет никаких предпосылок для изменения сложившейся ситуации в будущем.</w:t>
      </w:r>
    </w:p>
    <w:p w:rsidR="00EE639F" w:rsidRPr="00AC52AC" w:rsidRDefault="00EE639F" w:rsidP="004D6B2B">
      <w:pPr>
        <w:spacing w:line="360" w:lineRule="auto"/>
        <w:ind w:firstLine="709"/>
        <w:jc w:val="both"/>
        <w:rPr>
          <w:sz w:val="28"/>
          <w:szCs w:val="28"/>
        </w:rPr>
      </w:pPr>
      <w:r w:rsidRPr="00AC52AC">
        <w:rPr>
          <w:sz w:val="28"/>
          <w:szCs w:val="28"/>
        </w:rPr>
        <w:t xml:space="preserve">Российский гандбол, приносящий когда-то </w:t>
      </w:r>
      <w:r w:rsidR="008466B1" w:rsidRPr="00AC52AC">
        <w:rPr>
          <w:sz w:val="28"/>
          <w:szCs w:val="28"/>
        </w:rPr>
        <w:t xml:space="preserve">нашей </w:t>
      </w:r>
      <w:r w:rsidRPr="00AC52AC">
        <w:rPr>
          <w:sz w:val="28"/>
          <w:szCs w:val="28"/>
        </w:rPr>
        <w:t xml:space="preserve">стране олимпийские медали, находится в настоящее время в кризисе, поэтому целесообразно проанализировать тенденции его развития в сравнении с мировыми аналогами и наметить пути для повышения </w:t>
      </w:r>
      <w:r w:rsidR="00976AA1">
        <w:rPr>
          <w:sz w:val="28"/>
          <w:szCs w:val="28"/>
        </w:rPr>
        <w:t>результативности выступления</w:t>
      </w:r>
      <w:r w:rsidRPr="00AC52AC">
        <w:rPr>
          <w:sz w:val="28"/>
          <w:szCs w:val="28"/>
        </w:rPr>
        <w:t xml:space="preserve"> отечественных команд на </w:t>
      </w:r>
      <w:r w:rsidR="00976AA1">
        <w:rPr>
          <w:sz w:val="28"/>
          <w:szCs w:val="28"/>
        </w:rPr>
        <w:t xml:space="preserve">крупных </w:t>
      </w:r>
      <w:r w:rsidRPr="00AC52AC">
        <w:rPr>
          <w:sz w:val="28"/>
          <w:szCs w:val="28"/>
        </w:rPr>
        <w:t>международн</w:t>
      </w:r>
      <w:r w:rsidR="00976AA1">
        <w:rPr>
          <w:sz w:val="28"/>
          <w:szCs w:val="28"/>
        </w:rPr>
        <w:t>ых</w:t>
      </w:r>
      <w:r w:rsidRPr="00AC52AC">
        <w:rPr>
          <w:sz w:val="28"/>
          <w:szCs w:val="28"/>
        </w:rPr>
        <w:t xml:space="preserve"> </w:t>
      </w:r>
      <w:r w:rsidR="00976AA1">
        <w:rPr>
          <w:sz w:val="28"/>
          <w:szCs w:val="28"/>
        </w:rPr>
        <w:t>турнирах</w:t>
      </w:r>
      <w:r w:rsidR="008466B1" w:rsidRPr="00AC52AC">
        <w:rPr>
          <w:sz w:val="28"/>
          <w:szCs w:val="28"/>
        </w:rPr>
        <w:t xml:space="preserve"> [2].</w:t>
      </w:r>
    </w:p>
    <w:p w:rsidR="00EE639F" w:rsidRPr="00AC52AC" w:rsidRDefault="00EE639F" w:rsidP="004D6B2B">
      <w:pPr>
        <w:spacing w:line="360" w:lineRule="auto"/>
        <w:ind w:firstLine="709"/>
        <w:jc w:val="both"/>
        <w:rPr>
          <w:sz w:val="28"/>
          <w:szCs w:val="28"/>
        </w:rPr>
      </w:pPr>
      <w:r w:rsidRPr="00AC52AC">
        <w:rPr>
          <w:sz w:val="28"/>
          <w:szCs w:val="28"/>
        </w:rPr>
        <w:t xml:space="preserve">В настоящее время значительную роль в успехах мужских команд играют результативные, самоотверженные действия крайних игроков, которые держат </w:t>
      </w:r>
      <w:r w:rsidRPr="00AC52AC">
        <w:rPr>
          <w:sz w:val="28"/>
          <w:szCs w:val="28"/>
        </w:rPr>
        <w:lastRenderedPageBreak/>
        <w:t>в напряжении защиту соперников и зачастую эффективно завершают многоходовые комбинации.</w:t>
      </w:r>
    </w:p>
    <w:p w:rsidR="00EE639F" w:rsidRPr="00AC52AC" w:rsidRDefault="00EE639F" w:rsidP="004D6B2B">
      <w:pPr>
        <w:spacing w:line="360" w:lineRule="auto"/>
        <w:ind w:firstLine="709"/>
        <w:jc w:val="both"/>
        <w:rPr>
          <w:sz w:val="28"/>
          <w:szCs w:val="28"/>
        </w:rPr>
      </w:pPr>
      <w:r w:rsidRPr="00AC52AC">
        <w:rPr>
          <w:sz w:val="28"/>
          <w:szCs w:val="28"/>
        </w:rPr>
        <w:t xml:space="preserve">Цель настоящей статьи – проанализировать роль крайних игроков в успешной соревновательной деятельности мужских команд на чемпионатах Европы </w:t>
      </w:r>
      <w:r w:rsidR="00F5024C" w:rsidRPr="00AC52AC">
        <w:rPr>
          <w:sz w:val="28"/>
          <w:szCs w:val="28"/>
        </w:rPr>
        <w:t xml:space="preserve">по гандболу </w:t>
      </w:r>
      <w:r w:rsidRPr="00AC52AC">
        <w:rPr>
          <w:sz w:val="28"/>
          <w:szCs w:val="28"/>
        </w:rPr>
        <w:t>в период с 2008 до 2016 года</w:t>
      </w:r>
      <w:r w:rsidR="001C3ABA" w:rsidRPr="00AC52AC">
        <w:rPr>
          <w:sz w:val="28"/>
          <w:szCs w:val="28"/>
        </w:rPr>
        <w:t xml:space="preserve"> и разработать рекомендации для использования в процессе спортивной подготовки российских команд мастеров</w:t>
      </w:r>
      <w:r w:rsidRPr="00AC52AC">
        <w:rPr>
          <w:sz w:val="28"/>
          <w:szCs w:val="28"/>
        </w:rPr>
        <w:t>.</w:t>
      </w:r>
    </w:p>
    <w:p w:rsidR="00EE639F" w:rsidRPr="00AC52AC" w:rsidRDefault="00EE639F" w:rsidP="001C3ABA">
      <w:pPr>
        <w:spacing w:line="360" w:lineRule="auto"/>
        <w:ind w:firstLine="709"/>
        <w:jc w:val="both"/>
        <w:rPr>
          <w:sz w:val="28"/>
          <w:szCs w:val="28"/>
        </w:rPr>
      </w:pPr>
      <w:r w:rsidRPr="00AC52AC">
        <w:rPr>
          <w:sz w:val="28"/>
          <w:szCs w:val="28"/>
        </w:rPr>
        <w:t>Следует отметить, что советский и российский гандбол</w:t>
      </w:r>
      <w:r w:rsidR="00BE4823" w:rsidRPr="00AC52AC">
        <w:rPr>
          <w:sz w:val="28"/>
          <w:szCs w:val="28"/>
        </w:rPr>
        <w:t xml:space="preserve"> всегда был богат яркими </w:t>
      </w:r>
      <w:r w:rsidR="001C3ABA" w:rsidRPr="00AC52AC">
        <w:rPr>
          <w:sz w:val="28"/>
          <w:szCs w:val="28"/>
        </w:rPr>
        <w:t>представителями</w:t>
      </w:r>
      <w:r w:rsidR="00BE4823" w:rsidRPr="00AC52AC">
        <w:rPr>
          <w:sz w:val="28"/>
          <w:szCs w:val="28"/>
        </w:rPr>
        <w:t xml:space="preserve"> этого амплуа. Достаточно вспомнить таких игроков, как В. Ильин, Ю. Кидяев, В. Кравцов, А. Каршакевич, Ю. Шевцов, В. Гопин, Д. Филиппов, Э.</w:t>
      </w:r>
      <w:r w:rsidR="001C3ABA" w:rsidRPr="00AC52AC">
        <w:rPr>
          <w:sz w:val="28"/>
          <w:szCs w:val="28"/>
        </w:rPr>
        <w:t xml:space="preserve"> </w:t>
      </w:r>
      <w:r w:rsidR="00BE4823" w:rsidRPr="00AC52AC">
        <w:rPr>
          <w:sz w:val="28"/>
          <w:szCs w:val="28"/>
        </w:rPr>
        <w:t xml:space="preserve">Кокшаров, Д. Кривошлыков. В последнее время в составе сборной России успешно </w:t>
      </w:r>
      <w:r w:rsidR="001C3ABA" w:rsidRPr="00AC52AC">
        <w:rPr>
          <w:sz w:val="28"/>
          <w:szCs w:val="28"/>
        </w:rPr>
        <w:t>действуют такие крайние игроки как</w:t>
      </w:r>
      <w:r w:rsidR="00BE4823" w:rsidRPr="00AC52AC">
        <w:rPr>
          <w:sz w:val="28"/>
          <w:szCs w:val="28"/>
        </w:rPr>
        <w:t xml:space="preserve"> Т. Дибиров и В. Ковалев.</w:t>
      </w:r>
    </w:p>
    <w:p w:rsidR="00BE4823" w:rsidRPr="00AC52AC" w:rsidRDefault="001C3ABA" w:rsidP="004D6B2B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AC52AC">
        <w:rPr>
          <w:spacing w:val="2"/>
          <w:sz w:val="28"/>
          <w:szCs w:val="28"/>
        </w:rPr>
        <w:t>Вместе с тем</w:t>
      </w:r>
      <w:r w:rsidR="00CF3FFB" w:rsidRPr="00AC52AC">
        <w:rPr>
          <w:spacing w:val="2"/>
          <w:sz w:val="28"/>
          <w:szCs w:val="28"/>
        </w:rPr>
        <w:t>, необходимо</w:t>
      </w:r>
      <w:r w:rsidRPr="00AC52AC">
        <w:rPr>
          <w:spacing w:val="2"/>
          <w:sz w:val="28"/>
          <w:szCs w:val="28"/>
        </w:rPr>
        <w:t>сть</w:t>
      </w:r>
      <w:r w:rsidR="00CF3FFB" w:rsidRPr="00AC52AC">
        <w:rPr>
          <w:spacing w:val="2"/>
          <w:sz w:val="28"/>
          <w:szCs w:val="28"/>
        </w:rPr>
        <w:t xml:space="preserve"> анализ</w:t>
      </w:r>
      <w:r w:rsidRPr="00AC52AC">
        <w:rPr>
          <w:spacing w:val="2"/>
          <w:sz w:val="28"/>
          <w:szCs w:val="28"/>
        </w:rPr>
        <w:t>а мировой</w:t>
      </w:r>
      <w:r w:rsidR="00CF3FFB" w:rsidRPr="00AC52AC">
        <w:rPr>
          <w:spacing w:val="2"/>
          <w:sz w:val="28"/>
          <w:szCs w:val="28"/>
        </w:rPr>
        <w:t xml:space="preserve"> тенденци</w:t>
      </w:r>
      <w:r w:rsidRPr="00AC52AC">
        <w:rPr>
          <w:spacing w:val="2"/>
          <w:sz w:val="28"/>
          <w:szCs w:val="28"/>
        </w:rPr>
        <w:t>и</w:t>
      </w:r>
      <w:r w:rsidR="00CF3FFB" w:rsidRPr="00AC52AC">
        <w:rPr>
          <w:spacing w:val="2"/>
          <w:sz w:val="28"/>
          <w:szCs w:val="28"/>
        </w:rPr>
        <w:t xml:space="preserve"> увеличения ростовых показателей крайних игроков</w:t>
      </w:r>
      <w:r w:rsidRPr="00AC52AC">
        <w:rPr>
          <w:spacing w:val="2"/>
          <w:sz w:val="28"/>
          <w:szCs w:val="28"/>
        </w:rPr>
        <w:t xml:space="preserve">, обусловлена желанием повысить результативность соревновательных </w:t>
      </w:r>
      <w:r w:rsidR="00161B48" w:rsidRPr="00AC52AC">
        <w:rPr>
          <w:spacing w:val="2"/>
          <w:sz w:val="28"/>
          <w:szCs w:val="28"/>
        </w:rPr>
        <w:t xml:space="preserve">действий лучших российских </w:t>
      </w:r>
      <w:r w:rsidR="00976AA1">
        <w:rPr>
          <w:spacing w:val="2"/>
          <w:sz w:val="28"/>
          <w:szCs w:val="28"/>
        </w:rPr>
        <w:t>спортсменов</w:t>
      </w:r>
      <w:r w:rsidR="00161B48" w:rsidRPr="00AC52AC">
        <w:rPr>
          <w:spacing w:val="2"/>
          <w:sz w:val="28"/>
          <w:szCs w:val="28"/>
        </w:rPr>
        <w:t xml:space="preserve"> и команд на международной арене</w:t>
      </w:r>
      <w:r w:rsidR="00CF3FFB" w:rsidRPr="00AC52AC">
        <w:rPr>
          <w:spacing w:val="2"/>
          <w:sz w:val="28"/>
          <w:szCs w:val="28"/>
        </w:rPr>
        <w:t>. Все лучшие европейские команды укомплектованы, как невысокими и скоростными (рост до 187 см), так и высокими (рост более 187 см) игроками этого амплуа, с обязательным наличием у них хорошо развитых скоростных качеств. При равных скоростных способностях невысоких и высок</w:t>
      </w:r>
      <w:r w:rsidR="00976AA1">
        <w:rPr>
          <w:spacing w:val="2"/>
          <w:sz w:val="28"/>
          <w:szCs w:val="28"/>
        </w:rPr>
        <w:t>орослых</w:t>
      </w:r>
      <w:r w:rsidR="00CF3FFB" w:rsidRPr="00AC52AC">
        <w:rPr>
          <w:spacing w:val="2"/>
          <w:sz w:val="28"/>
          <w:szCs w:val="28"/>
        </w:rPr>
        <w:t xml:space="preserve"> крайних игроков, последние будут иметь преимущество при завершении позицио</w:t>
      </w:r>
      <w:r w:rsidR="003634FF">
        <w:rPr>
          <w:spacing w:val="2"/>
          <w:sz w:val="28"/>
          <w:szCs w:val="28"/>
        </w:rPr>
        <w:t>нных атак. Происходит это за счё</w:t>
      </w:r>
      <w:bookmarkStart w:id="0" w:name="_GoBack"/>
      <w:bookmarkEnd w:id="0"/>
      <w:r w:rsidR="00CF3FFB" w:rsidRPr="00AC52AC">
        <w:rPr>
          <w:spacing w:val="2"/>
          <w:sz w:val="28"/>
          <w:szCs w:val="28"/>
        </w:rPr>
        <w:t>т длины рук, которая у высок</w:t>
      </w:r>
      <w:r w:rsidR="00976AA1">
        <w:rPr>
          <w:spacing w:val="2"/>
          <w:sz w:val="28"/>
          <w:szCs w:val="28"/>
        </w:rPr>
        <w:t>и</w:t>
      </w:r>
      <w:r w:rsidR="00CF3FFB" w:rsidRPr="00AC52AC">
        <w:rPr>
          <w:spacing w:val="2"/>
          <w:sz w:val="28"/>
          <w:szCs w:val="28"/>
        </w:rPr>
        <w:t xml:space="preserve">х крайних будет больше, что позволяет </w:t>
      </w:r>
      <w:r w:rsidR="00161B48" w:rsidRPr="00AC52AC">
        <w:rPr>
          <w:spacing w:val="2"/>
          <w:sz w:val="28"/>
          <w:szCs w:val="28"/>
        </w:rPr>
        <w:t xml:space="preserve">им </w:t>
      </w:r>
      <w:r w:rsidR="00CF3FFB" w:rsidRPr="00AC52AC">
        <w:rPr>
          <w:spacing w:val="2"/>
          <w:sz w:val="28"/>
          <w:szCs w:val="28"/>
        </w:rPr>
        <w:t xml:space="preserve">увеличивать угол обстрела </w:t>
      </w:r>
      <w:r w:rsidR="00161B48" w:rsidRPr="00AC52AC">
        <w:rPr>
          <w:spacing w:val="2"/>
          <w:sz w:val="28"/>
          <w:szCs w:val="28"/>
        </w:rPr>
        <w:t xml:space="preserve">ворот соперника </w:t>
      </w:r>
      <w:r w:rsidR="00CF3FFB" w:rsidRPr="00AC52AC">
        <w:rPr>
          <w:spacing w:val="2"/>
          <w:sz w:val="28"/>
          <w:szCs w:val="28"/>
        </w:rPr>
        <w:t>при атаках. Обязательным условием для обеих категорий крайних игроков является хорошая прыгучесть и координация движений. Обусловлено это тем, что при завершении позиционн</w:t>
      </w:r>
      <w:r w:rsidR="00161B48" w:rsidRPr="00AC52AC">
        <w:rPr>
          <w:spacing w:val="2"/>
          <w:sz w:val="28"/>
          <w:szCs w:val="28"/>
        </w:rPr>
        <w:t>ых атак</w:t>
      </w:r>
      <w:r w:rsidR="00CF3FFB" w:rsidRPr="00AC52AC">
        <w:rPr>
          <w:spacing w:val="2"/>
          <w:sz w:val="28"/>
          <w:szCs w:val="28"/>
        </w:rPr>
        <w:t xml:space="preserve"> крайним игроком зачастую приходится бросать по воротам в падении, а затем приземляться на грудь или подниматься в стойку</w:t>
      </w:r>
      <w:r w:rsidR="00161B48" w:rsidRPr="00AC52AC">
        <w:rPr>
          <w:spacing w:val="2"/>
          <w:sz w:val="28"/>
          <w:szCs w:val="28"/>
        </w:rPr>
        <w:t xml:space="preserve"> готовности</w:t>
      </w:r>
      <w:r w:rsidR="00CF3FFB" w:rsidRPr="00AC52AC">
        <w:rPr>
          <w:spacing w:val="2"/>
          <w:sz w:val="28"/>
          <w:szCs w:val="28"/>
        </w:rPr>
        <w:t xml:space="preserve"> кувырком назад. Высоким крайним </w:t>
      </w:r>
      <w:r w:rsidR="00161B48" w:rsidRPr="00AC52AC">
        <w:rPr>
          <w:spacing w:val="2"/>
          <w:sz w:val="28"/>
          <w:szCs w:val="28"/>
        </w:rPr>
        <w:t>игрокам,</w:t>
      </w:r>
      <w:r w:rsidR="00CF3FFB" w:rsidRPr="00AC52AC">
        <w:rPr>
          <w:spacing w:val="2"/>
          <w:sz w:val="28"/>
          <w:szCs w:val="28"/>
        </w:rPr>
        <w:t xml:space="preserve"> разумеется, </w:t>
      </w:r>
      <w:r w:rsidR="00CF3FFB" w:rsidRPr="00AC52AC">
        <w:rPr>
          <w:spacing w:val="2"/>
          <w:sz w:val="28"/>
          <w:szCs w:val="28"/>
        </w:rPr>
        <w:lastRenderedPageBreak/>
        <w:t xml:space="preserve">делать это сложнее, поэтому многие из них предпочитают завершать атаку из опорного положения. Следует отметить, что тренеры мужской сборной России стараются не отстать от передовых </w:t>
      </w:r>
      <w:r w:rsidR="00976AA1">
        <w:rPr>
          <w:spacing w:val="2"/>
          <w:sz w:val="28"/>
          <w:szCs w:val="28"/>
        </w:rPr>
        <w:t xml:space="preserve">международных </w:t>
      </w:r>
      <w:r w:rsidR="00161B48" w:rsidRPr="00AC52AC">
        <w:rPr>
          <w:spacing w:val="2"/>
          <w:sz w:val="28"/>
          <w:szCs w:val="28"/>
        </w:rPr>
        <w:t>тенденций комплектования команд</w:t>
      </w:r>
      <w:r w:rsidR="00CF3FFB" w:rsidRPr="00AC52AC">
        <w:rPr>
          <w:spacing w:val="2"/>
          <w:sz w:val="28"/>
          <w:szCs w:val="28"/>
        </w:rPr>
        <w:t xml:space="preserve"> и поэтому</w:t>
      </w:r>
      <w:r w:rsidR="001C183C" w:rsidRPr="00AC52AC">
        <w:rPr>
          <w:spacing w:val="2"/>
          <w:sz w:val="28"/>
          <w:szCs w:val="28"/>
        </w:rPr>
        <w:t xml:space="preserve"> на </w:t>
      </w:r>
      <w:r w:rsidR="00161B48" w:rsidRPr="00AC52AC">
        <w:rPr>
          <w:spacing w:val="2"/>
          <w:sz w:val="28"/>
          <w:szCs w:val="28"/>
        </w:rPr>
        <w:t>ч</w:t>
      </w:r>
      <w:r w:rsidR="001C183C" w:rsidRPr="00AC52AC">
        <w:rPr>
          <w:spacing w:val="2"/>
          <w:sz w:val="28"/>
          <w:szCs w:val="28"/>
        </w:rPr>
        <w:t>емпионате Европы 2016 года в составе сборной нашей страны находи</w:t>
      </w:r>
      <w:r w:rsidR="00976AA1">
        <w:rPr>
          <w:spacing w:val="2"/>
          <w:sz w:val="28"/>
          <w:szCs w:val="28"/>
        </w:rPr>
        <w:t>л</w:t>
      </w:r>
      <w:r w:rsidR="001C183C" w:rsidRPr="00AC52AC">
        <w:rPr>
          <w:spacing w:val="2"/>
          <w:sz w:val="28"/>
          <w:szCs w:val="28"/>
        </w:rPr>
        <w:t>ся правый крайний игрок Д. Шишкарев, рост которого составляет 190 см.</w:t>
      </w:r>
    </w:p>
    <w:p w:rsidR="001C183C" w:rsidRPr="00AC52AC" w:rsidRDefault="00161B48" w:rsidP="004D6B2B">
      <w:pPr>
        <w:spacing w:line="360" w:lineRule="auto"/>
        <w:ind w:firstLine="709"/>
        <w:jc w:val="both"/>
        <w:rPr>
          <w:sz w:val="28"/>
          <w:szCs w:val="28"/>
        </w:rPr>
      </w:pPr>
      <w:r w:rsidRPr="00AC52AC">
        <w:rPr>
          <w:b/>
          <w:sz w:val="28"/>
          <w:szCs w:val="28"/>
        </w:rPr>
        <w:t xml:space="preserve">Методы и организация исследований. </w:t>
      </w:r>
      <w:r w:rsidR="001C183C" w:rsidRPr="00AC52AC">
        <w:rPr>
          <w:sz w:val="28"/>
          <w:szCs w:val="28"/>
        </w:rPr>
        <w:t xml:space="preserve">Для </w:t>
      </w:r>
      <w:r w:rsidRPr="00AC52AC">
        <w:rPr>
          <w:sz w:val="28"/>
          <w:szCs w:val="28"/>
        </w:rPr>
        <w:t xml:space="preserve">определения </w:t>
      </w:r>
      <w:r w:rsidR="001C183C" w:rsidRPr="00AC52AC">
        <w:rPr>
          <w:sz w:val="28"/>
          <w:szCs w:val="28"/>
        </w:rPr>
        <w:t xml:space="preserve">эффективности соревновательных действий крайних игроков нами были взяты показатели 50-ти самых результативных </w:t>
      </w:r>
      <w:r w:rsidRPr="00AC52AC">
        <w:rPr>
          <w:sz w:val="28"/>
          <w:szCs w:val="28"/>
        </w:rPr>
        <w:t>гандболистов</w:t>
      </w:r>
      <w:r w:rsidR="001C183C" w:rsidRPr="00AC52AC">
        <w:rPr>
          <w:sz w:val="28"/>
          <w:szCs w:val="28"/>
        </w:rPr>
        <w:t xml:space="preserve"> различных амплуа последних пяти чемпионат</w:t>
      </w:r>
      <w:r w:rsidRPr="00AC52AC">
        <w:rPr>
          <w:sz w:val="28"/>
          <w:szCs w:val="28"/>
        </w:rPr>
        <w:t>ах</w:t>
      </w:r>
      <w:r w:rsidR="001C183C" w:rsidRPr="00AC52AC">
        <w:rPr>
          <w:sz w:val="28"/>
          <w:szCs w:val="28"/>
        </w:rPr>
        <w:t xml:space="preserve"> Европы с 2008 до 2016 года. Вычислялась доля голов, забитых к</w:t>
      </w:r>
      <w:r w:rsidRPr="00AC52AC">
        <w:rPr>
          <w:sz w:val="28"/>
          <w:szCs w:val="28"/>
        </w:rPr>
        <w:t>райними игроками по отношению к сумме</w:t>
      </w:r>
      <w:r w:rsidR="001C183C" w:rsidRPr="00AC52AC">
        <w:rPr>
          <w:sz w:val="28"/>
          <w:szCs w:val="28"/>
        </w:rPr>
        <w:t xml:space="preserve"> всем гол</w:t>
      </w:r>
      <w:r w:rsidRPr="00AC52AC">
        <w:rPr>
          <w:sz w:val="28"/>
          <w:szCs w:val="28"/>
        </w:rPr>
        <w:t>ов</w:t>
      </w:r>
      <w:r w:rsidR="001C183C" w:rsidRPr="00AC52AC">
        <w:rPr>
          <w:sz w:val="28"/>
          <w:szCs w:val="28"/>
        </w:rPr>
        <w:t>, забиты</w:t>
      </w:r>
      <w:r w:rsidRPr="00AC52AC">
        <w:rPr>
          <w:sz w:val="28"/>
          <w:szCs w:val="28"/>
        </w:rPr>
        <w:t>х</w:t>
      </w:r>
      <w:r w:rsidR="001C183C" w:rsidRPr="00AC52AC">
        <w:rPr>
          <w:sz w:val="28"/>
          <w:szCs w:val="28"/>
        </w:rPr>
        <w:t xml:space="preserve"> игроками разных амплуа. Определялся также парциальный вклад высокорослых крайних игроков в их общем количестве.</w:t>
      </w:r>
    </w:p>
    <w:p w:rsidR="00161B48" w:rsidRDefault="00161B48" w:rsidP="00161B4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A5BFA">
        <w:rPr>
          <w:b/>
          <w:sz w:val="28"/>
          <w:szCs w:val="28"/>
        </w:rPr>
        <w:t>Результаты исследования и их обсуждение.</w:t>
      </w:r>
    </w:p>
    <w:p w:rsidR="00161B48" w:rsidRDefault="003634FF" w:rsidP="00AC52AC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50.95pt;margin-top:25.8pt;width:25.6pt;height:20.55pt;z-index:251717632" stroked="f">
            <v:textbox>
              <w:txbxContent>
                <w:p w:rsidR="00F30F70" w:rsidRPr="00C40682" w:rsidRDefault="00F30F70" w:rsidP="001311AD">
                  <w:pPr>
                    <w:rPr>
                      <w:b/>
                    </w:rPr>
                  </w:pPr>
                  <w:r w:rsidRPr="00C40682">
                    <w:rPr>
                      <w:b/>
                    </w:rPr>
                    <w:t>%</w:t>
                  </w:r>
                </w:p>
              </w:txbxContent>
            </v:textbox>
          </v:shape>
        </w:pict>
      </w:r>
      <w:r w:rsidR="00161B48">
        <w:rPr>
          <w:sz w:val="28"/>
          <w:szCs w:val="28"/>
        </w:rPr>
        <w:t>Результаты анализа изучаемых параметров приведены на рисунке 1.</w:t>
      </w:r>
    </w:p>
    <w:p w:rsidR="001C183C" w:rsidRDefault="003634FF" w:rsidP="004D6B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4" type="#_x0000_t202" style="position:absolute;left:0;text-align:left;margin-left:399.45pt;margin-top:170.95pt;width:49.85pt;height:20.55pt;z-index:251716608" stroked="f">
            <v:textbox style="mso-next-textbox:#_x0000_s1074">
              <w:txbxContent>
                <w:p w:rsidR="00F30F70" w:rsidRPr="00C40682" w:rsidRDefault="00F30F70">
                  <w:pPr>
                    <w:rPr>
                      <w:b/>
                    </w:rPr>
                  </w:pPr>
                  <w:r w:rsidRPr="00C40682">
                    <w:rPr>
                      <w:b/>
                    </w:rPr>
                    <w:t>годы</w:t>
                  </w:r>
                </w:p>
              </w:txbxContent>
            </v:textbox>
          </v:shape>
        </w:pict>
      </w:r>
      <w:r w:rsidR="00161B48">
        <w:rPr>
          <w:noProof/>
          <w:sz w:val="28"/>
          <w:szCs w:val="28"/>
        </w:rPr>
        <w:drawing>
          <wp:inline distT="0" distB="0" distL="0" distR="0">
            <wp:extent cx="5269949" cy="2570672"/>
            <wp:effectExtent l="19050" t="0" r="690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183C" w:rsidRDefault="003634FF" w:rsidP="001311AD">
      <w:pPr>
        <w:tabs>
          <w:tab w:val="left" w:pos="1560"/>
        </w:tabs>
        <w:ind w:left="1560" w:hanging="99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8" style="position:absolute;left:0;text-align:left;margin-left:226.35pt;margin-top:19.8pt;width:11.35pt;height:11.35pt;z-index:251728896" fillcolor="#bfbfbf">
            <v:fill color2="fill darken(118)" method="linear sigma" focus="100%" type="gradient"/>
          </v:rect>
        </w:pict>
      </w:r>
      <w:r>
        <w:rPr>
          <w:noProof/>
          <w:sz w:val="28"/>
          <w:szCs w:val="28"/>
        </w:rPr>
        <w:pict>
          <v:rect id="_x0000_s1073" style="position:absolute;left:0;text-align:left;margin-left:357.15pt;margin-top:34.95pt;width:11.35pt;height:11.35pt;z-index:251715584" fillcolor="black">
            <v:fill r:id="rId9" o:title="Широкий диагональный 2" type="pattern"/>
          </v:rect>
        </w:pict>
      </w:r>
      <w:r w:rsidR="002A18FB">
        <w:rPr>
          <w:sz w:val="28"/>
          <w:szCs w:val="28"/>
        </w:rPr>
        <w:t>Рис 1.</w:t>
      </w:r>
      <w:r w:rsidR="002A18FB">
        <w:rPr>
          <w:sz w:val="28"/>
          <w:szCs w:val="28"/>
        </w:rPr>
        <w:tab/>
        <w:t>Динамика результативности соревновательных атакующих действий</w:t>
      </w:r>
      <w:r w:rsidR="00976AA1">
        <w:rPr>
          <w:sz w:val="28"/>
          <w:szCs w:val="28"/>
        </w:rPr>
        <w:t xml:space="preserve"> спортсменов (     )</w:t>
      </w:r>
      <w:r w:rsidR="002A18FB">
        <w:rPr>
          <w:sz w:val="28"/>
          <w:szCs w:val="28"/>
        </w:rPr>
        <w:t xml:space="preserve"> и парциального вклада высокорослых крайних иг</w:t>
      </w:r>
      <w:r w:rsidR="00976AA1">
        <w:rPr>
          <w:sz w:val="28"/>
          <w:szCs w:val="28"/>
        </w:rPr>
        <w:t xml:space="preserve">роков в общем их количестве (  </w:t>
      </w:r>
      <w:r w:rsidR="002A18FB">
        <w:rPr>
          <w:sz w:val="28"/>
          <w:szCs w:val="28"/>
        </w:rPr>
        <w:t xml:space="preserve"> ) на чемпионатах Европы по гандболу 2008-2016 годов.</w:t>
      </w:r>
    </w:p>
    <w:p w:rsidR="002A18FB" w:rsidRDefault="002A18FB" w:rsidP="001311AD">
      <w:pPr>
        <w:tabs>
          <w:tab w:val="left" w:pos="1560"/>
        </w:tabs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По оси абсцисс – время (годы).</w:t>
      </w:r>
    </w:p>
    <w:p w:rsidR="002A18FB" w:rsidRPr="001311AD" w:rsidRDefault="002A18FB" w:rsidP="001311AD">
      <w:pPr>
        <w:tabs>
          <w:tab w:val="left" w:pos="1560"/>
        </w:tabs>
        <w:ind w:left="1560"/>
        <w:jc w:val="both"/>
        <w:rPr>
          <w:spacing w:val="-6"/>
          <w:sz w:val="28"/>
          <w:szCs w:val="28"/>
        </w:rPr>
      </w:pPr>
      <w:r w:rsidRPr="001311AD">
        <w:rPr>
          <w:spacing w:val="-6"/>
          <w:sz w:val="28"/>
          <w:szCs w:val="28"/>
        </w:rPr>
        <w:t>По оси ординат – результативность рассматриваемых параметров (%).</w:t>
      </w:r>
    </w:p>
    <w:p w:rsidR="002A18FB" w:rsidRDefault="002A18FB" w:rsidP="001311AD">
      <w:pPr>
        <w:tabs>
          <w:tab w:val="left" w:pos="1560"/>
        </w:tabs>
        <w:ind w:left="1701" w:hanging="992"/>
        <w:jc w:val="both"/>
        <w:rPr>
          <w:sz w:val="28"/>
          <w:szCs w:val="28"/>
        </w:rPr>
      </w:pPr>
    </w:p>
    <w:p w:rsidR="001C183C" w:rsidRPr="00AC52AC" w:rsidRDefault="00736DF9" w:rsidP="004D6B2B">
      <w:pPr>
        <w:spacing w:line="360" w:lineRule="auto"/>
        <w:ind w:firstLine="709"/>
        <w:jc w:val="both"/>
        <w:rPr>
          <w:spacing w:val="4"/>
          <w:sz w:val="28"/>
          <w:szCs w:val="28"/>
        </w:rPr>
      </w:pPr>
      <w:r w:rsidRPr="00AC52AC">
        <w:rPr>
          <w:spacing w:val="4"/>
          <w:sz w:val="28"/>
          <w:szCs w:val="28"/>
        </w:rPr>
        <w:lastRenderedPageBreak/>
        <w:t xml:space="preserve">Из рисунка </w:t>
      </w:r>
      <w:r w:rsidR="00976AA1">
        <w:rPr>
          <w:spacing w:val="4"/>
          <w:sz w:val="28"/>
          <w:szCs w:val="28"/>
        </w:rPr>
        <w:t xml:space="preserve">1 </w:t>
      </w:r>
      <w:r w:rsidRPr="00AC52AC">
        <w:rPr>
          <w:spacing w:val="4"/>
          <w:sz w:val="28"/>
          <w:szCs w:val="28"/>
        </w:rPr>
        <w:t xml:space="preserve">следует, что на чемпионатах Европы 2012 и 2016 годов, когда доля высоких крайних игроков достигла 50 % от их общего числа, результативность атакующих соревновательных действий команд гандболистов  возросла, достигая 38-40 % </w:t>
      </w:r>
      <w:r w:rsidR="003844B0" w:rsidRPr="00AC52AC">
        <w:rPr>
          <w:spacing w:val="4"/>
          <w:sz w:val="28"/>
          <w:szCs w:val="28"/>
        </w:rPr>
        <w:t>и,</w:t>
      </w:r>
      <w:r w:rsidRPr="00AC52AC">
        <w:rPr>
          <w:spacing w:val="4"/>
          <w:sz w:val="28"/>
          <w:szCs w:val="28"/>
        </w:rPr>
        <w:t xml:space="preserve"> наоборот, на чемпионатах Европы 2010 и 2014 годов, когда количество высоких игроков этого амплуа не превышало 25 % от общего числа крайних игроков эти показатели были заметно ниже не превышая 30 %. Несколько выбиваются из общей закономерности значения рассматриваемых показателей, зафиксированные на чемпионате Европы 2008 года, где доля высоких крайних </w:t>
      </w:r>
      <w:r w:rsidR="003844B0" w:rsidRPr="00AC52AC">
        <w:rPr>
          <w:spacing w:val="4"/>
          <w:sz w:val="28"/>
          <w:szCs w:val="28"/>
        </w:rPr>
        <w:t xml:space="preserve">составила около 40 %, а показатели результативности атакующих соревновательных действий были самыми низкими (28 %). Отличаются от общей тенденции значения показателей, зафиксированные в 2010 году, когда при невысоком количестве высоких крайних игроков (15 %) результативность атак гандболистов несколько повысилась (до </w:t>
      </w:r>
      <w:r w:rsidR="00AC52AC">
        <w:rPr>
          <w:spacing w:val="4"/>
          <w:sz w:val="28"/>
          <w:szCs w:val="28"/>
        </w:rPr>
        <w:t xml:space="preserve">30 %). Объяснить выявленные </w:t>
      </w:r>
      <w:r w:rsidR="00976AA1">
        <w:rPr>
          <w:spacing w:val="4"/>
          <w:sz w:val="28"/>
          <w:szCs w:val="28"/>
        </w:rPr>
        <w:t>отклонения от общей тенденции</w:t>
      </w:r>
      <w:r w:rsidR="00AC52AC">
        <w:rPr>
          <w:spacing w:val="4"/>
          <w:sz w:val="28"/>
          <w:szCs w:val="28"/>
        </w:rPr>
        <w:t xml:space="preserve"> </w:t>
      </w:r>
      <w:r w:rsidR="003844B0" w:rsidRPr="00AC52AC">
        <w:rPr>
          <w:spacing w:val="4"/>
          <w:sz w:val="28"/>
          <w:szCs w:val="28"/>
        </w:rPr>
        <w:t>можно тем, что результативность крайних игроков в атаке складывает</w:t>
      </w:r>
      <w:r w:rsidR="003634FF">
        <w:rPr>
          <w:spacing w:val="4"/>
          <w:sz w:val="28"/>
          <w:szCs w:val="28"/>
        </w:rPr>
        <w:t>ся из трё</w:t>
      </w:r>
      <w:r w:rsidR="003844B0" w:rsidRPr="00AC52AC">
        <w:rPr>
          <w:spacing w:val="4"/>
          <w:sz w:val="28"/>
          <w:szCs w:val="28"/>
        </w:rPr>
        <w:t>х компонентов:</w:t>
      </w:r>
    </w:p>
    <w:p w:rsidR="003844B0" w:rsidRPr="00AC52AC" w:rsidRDefault="003844B0" w:rsidP="003844B0">
      <w:pPr>
        <w:tabs>
          <w:tab w:val="left" w:pos="1134"/>
        </w:tabs>
        <w:spacing w:line="360" w:lineRule="auto"/>
        <w:ind w:firstLine="709"/>
        <w:jc w:val="both"/>
        <w:rPr>
          <w:spacing w:val="4"/>
          <w:sz w:val="28"/>
          <w:szCs w:val="28"/>
        </w:rPr>
      </w:pPr>
      <w:r w:rsidRPr="00AC52AC">
        <w:rPr>
          <w:spacing w:val="4"/>
          <w:sz w:val="28"/>
          <w:szCs w:val="28"/>
        </w:rPr>
        <w:t>1.</w:t>
      </w:r>
      <w:r w:rsidRPr="00AC52AC">
        <w:rPr>
          <w:spacing w:val="4"/>
          <w:sz w:val="28"/>
          <w:szCs w:val="28"/>
        </w:rPr>
        <w:tab/>
        <w:t>Голы, забитые в контратаке.</w:t>
      </w:r>
    </w:p>
    <w:p w:rsidR="003844B0" w:rsidRDefault="003844B0" w:rsidP="003844B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Голы, забитые в позиционном нападении.</w:t>
      </w:r>
    </w:p>
    <w:p w:rsidR="003844B0" w:rsidRDefault="00976AA1" w:rsidP="003844B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Голы, забитые с 7-мет</w:t>
      </w:r>
      <w:r w:rsidR="003844B0">
        <w:rPr>
          <w:sz w:val="28"/>
          <w:szCs w:val="28"/>
        </w:rPr>
        <w:t>ровых штрафных бросков.</w:t>
      </w:r>
    </w:p>
    <w:p w:rsidR="003844B0" w:rsidRPr="00AC52AC" w:rsidRDefault="00915D0F" w:rsidP="004D6B2B">
      <w:pPr>
        <w:spacing w:line="360" w:lineRule="auto"/>
        <w:ind w:firstLine="709"/>
        <w:jc w:val="both"/>
        <w:rPr>
          <w:spacing w:val="4"/>
          <w:sz w:val="28"/>
          <w:szCs w:val="28"/>
        </w:rPr>
      </w:pPr>
      <w:r w:rsidRPr="00AC52AC">
        <w:rPr>
          <w:spacing w:val="4"/>
          <w:sz w:val="28"/>
          <w:szCs w:val="28"/>
        </w:rPr>
        <w:t xml:space="preserve">Очевидно, в 2008 и 2010 годах какой-либо компонент из трех составляющих соревновательной результативности оказался невысоким, что в конечном итоге повлияло на снижение результативности. Выявить истинные причины </w:t>
      </w:r>
      <w:r w:rsidR="00976AA1">
        <w:rPr>
          <w:spacing w:val="4"/>
          <w:sz w:val="28"/>
          <w:szCs w:val="28"/>
        </w:rPr>
        <w:t xml:space="preserve">пока </w:t>
      </w:r>
      <w:r w:rsidRPr="00AC52AC">
        <w:rPr>
          <w:spacing w:val="4"/>
          <w:sz w:val="28"/>
          <w:szCs w:val="28"/>
        </w:rPr>
        <w:t>не представляется возможным ввиду того, что в протоколах игр чемпионатов</w:t>
      </w:r>
      <w:r w:rsidR="00976AA1">
        <w:rPr>
          <w:spacing w:val="4"/>
          <w:sz w:val="28"/>
          <w:szCs w:val="28"/>
        </w:rPr>
        <w:t xml:space="preserve"> Европы</w:t>
      </w:r>
      <w:r w:rsidRPr="00AC52AC">
        <w:rPr>
          <w:spacing w:val="4"/>
          <w:sz w:val="28"/>
          <w:szCs w:val="28"/>
        </w:rPr>
        <w:t xml:space="preserve"> деталировка </w:t>
      </w:r>
      <w:r w:rsidR="00976AA1">
        <w:rPr>
          <w:spacing w:val="4"/>
          <w:sz w:val="28"/>
          <w:szCs w:val="28"/>
        </w:rPr>
        <w:t xml:space="preserve">особенностей </w:t>
      </w:r>
      <w:r w:rsidRPr="00AC52AC">
        <w:rPr>
          <w:spacing w:val="4"/>
          <w:sz w:val="28"/>
          <w:szCs w:val="28"/>
        </w:rPr>
        <w:t>забитых голов не предусмотрена.</w:t>
      </w:r>
    </w:p>
    <w:p w:rsidR="00130BF3" w:rsidRDefault="00130BF3" w:rsidP="004D6B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 необходимо отметить тот факт, что самыми результативными игроками финальной части чемпионата Европы 2016 года стали три высоких крайних игрока:</w:t>
      </w:r>
    </w:p>
    <w:p w:rsidR="00130BF3" w:rsidRDefault="00130BF3" w:rsidP="00F30F7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ab/>
        <w:t>Валеро Ривера – 48 голов (левый крайний сборной команды Испании) – рост 189 см.</w:t>
      </w:r>
    </w:p>
    <w:p w:rsidR="00130BF3" w:rsidRDefault="00130BF3" w:rsidP="00F30F7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Тобиас Ричманн – 46 голов (правый крайний сборной команды Германии) – рост 188 см.</w:t>
      </w:r>
    </w:p>
    <w:p w:rsidR="00130BF3" w:rsidRDefault="00130BF3" w:rsidP="00F30F7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Кристиан Бьёрнсен – 45 голов (правый крайний сборной команды Норвегии) – рост 191 см.</w:t>
      </w:r>
    </w:p>
    <w:p w:rsidR="00130BF3" w:rsidRDefault="00F30F70" w:rsidP="004D6B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Тенденция включения в составы команд высоких крайних игроков прослеживается и на примере лучших клубов Европы. Если проанализировать заявочные </w:t>
      </w:r>
      <w:r w:rsidR="00976AA1">
        <w:rPr>
          <w:sz w:val="28"/>
          <w:szCs w:val="28"/>
        </w:rPr>
        <w:t>листы четырех команд полуфиналистов</w:t>
      </w:r>
      <w:r>
        <w:rPr>
          <w:sz w:val="28"/>
          <w:szCs w:val="28"/>
        </w:rPr>
        <w:t xml:space="preserve"> Лиги чемпионов Европы 2015-2016 годов, то наблюдается следующее (Рисунок 2).</w:t>
      </w:r>
    </w:p>
    <w:p w:rsidR="00F30F70" w:rsidRPr="006B0B90" w:rsidRDefault="003634FF" w:rsidP="006B0B90">
      <w:pPr>
        <w:ind w:firstLine="709"/>
        <w:jc w:val="both"/>
        <w:rPr>
          <w:sz w:val="10"/>
          <w:szCs w:val="10"/>
        </w:rPr>
      </w:pPr>
      <w:r>
        <w:rPr>
          <w:noProof/>
          <w:sz w:val="28"/>
          <w:szCs w:val="28"/>
        </w:rPr>
        <w:pict>
          <v:shape id="_x0000_s1077" type="#_x0000_t202" style="position:absolute;left:0;text-align:left;margin-left:388.8pt;margin-top:126pt;width:69.3pt;height:34.6pt;z-index:251718656" stroked="f">
            <v:textbox>
              <w:txbxContent>
                <w:p w:rsidR="00C40682" w:rsidRPr="00C40682" w:rsidRDefault="00C40682">
                  <w:pPr>
                    <w:rPr>
                      <w:b/>
                    </w:rPr>
                  </w:pPr>
                  <w:r w:rsidRPr="00C40682">
                    <w:rPr>
                      <w:b/>
                    </w:rPr>
                    <w:t>команды,</w:t>
                  </w:r>
                </w:p>
                <w:p w:rsidR="00C40682" w:rsidRPr="00C40682" w:rsidRDefault="00C40682">
                  <w:pPr>
                    <w:rPr>
                      <w:b/>
                    </w:rPr>
                  </w:pPr>
                  <w:r w:rsidRPr="00C40682">
                    <w:rPr>
                      <w:b/>
                    </w:rPr>
                    <w:t>страны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8" type="#_x0000_t202" style="position:absolute;left:0;text-align:left;margin-left:45.55pt;margin-top:-1pt;width:29.45pt;height:20.4pt;z-index:251719680" stroked="f">
            <v:textbox>
              <w:txbxContent>
                <w:p w:rsidR="0017457B" w:rsidRPr="00C40682" w:rsidRDefault="0017457B" w:rsidP="0017457B">
                  <w:pPr>
                    <w:rPr>
                      <w:b/>
                    </w:rPr>
                  </w:pPr>
                  <w:r>
                    <w:rPr>
                      <w:b/>
                    </w:rPr>
                    <w:t>%</w:t>
                  </w:r>
                </w:p>
              </w:txbxContent>
            </v:textbox>
          </v:shape>
        </w:pict>
      </w:r>
      <w:r w:rsidR="00F30F70">
        <w:rPr>
          <w:noProof/>
          <w:sz w:val="28"/>
          <w:szCs w:val="28"/>
        </w:rPr>
        <w:drawing>
          <wp:inline distT="0" distB="0" distL="0" distR="0">
            <wp:extent cx="5208558" cy="2182483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524F" w:rsidRDefault="00CA524F" w:rsidP="00976AA1">
      <w:pPr>
        <w:tabs>
          <w:tab w:val="left" w:pos="1560"/>
          <w:tab w:val="left" w:pos="2410"/>
        </w:tabs>
        <w:ind w:left="1560" w:hanging="851"/>
        <w:jc w:val="both"/>
        <w:rPr>
          <w:sz w:val="28"/>
          <w:szCs w:val="28"/>
        </w:rPr>
      </w:pPr>
      <w:r>
        <w:rPr>
          <w:sz w:val="28"/>
          <w:szCs w:val="28"/>
        </w:rPr>
        <w:t>Рис. 2.</w:t>
      </w:r>
      <w:r>
        <w:rPr>
          <w:sz w:val="28"/>
          <w:szCs w:val="28"/>
        </w:rPr>
        <w:tab/>
        <w:t xml:space="preserve">Доля высокорослых крайних </w:t>
      </w:r>
      <w:r w:rsidR="006B0B90">
        <w:rPr>
          <w:sz w:val="28"/>
          <w:szCs w:val="28"/>
        </w:rPr>
        <w:t>игроков</w:t>
      </w:r>
      <w:r>
        <w:rPr>
          <w:sz w:val="28"/>
          <w:szCs w:val="28"/>
        </w:rPr>
        <w:t xml:space="preserve"> в общем </w:t>
      </w:r>
      <w:r w:rsidR="00624BC7">
        <w:rPr>
          <w:sz w:val="28"/>
          <w:szCs w:val="28"/>
        </w:rPr>
        <w:t xml:space="preserve">их </w:t>
      </w:r>
      <w:r>
        <w:rPr>
          <w:sz w:val="28"/>
          <w:szCs w:val="28"/>
        </w:rPr>
        <w:t>количестве на чемпионатах Лиги чемпионов Европы 2015-2016 годов по гандболу.</w:t>
      </w:r>
      <w:r w:rsidR="00976AA1">
        <w:rPr>
          <w:sz w:val="28"/>
          <w:szCs w:val="28"/>
        </w:rPr>
        <w:t xml:space="preserve"> </w:t>
      </w:r>
      <w:r>
        <w:rPr>
          <w:sz w:val="28"/>
          <w:szCs w:val="28"/>
        </w:rPr>
        <w:t>По оси абсцисс – мужские сборные гандбо</w:t>
      </w:r>
      <w:r w:rsidR="00976AA1">
        <w:rPr>
          <w:sz w:val="28"/>
          <w:szCs w:val="28"/>
        </w:rPr>
        <w:t>льные команды европейских стран. П</w:t>
      </w:r>
      <w:r>
        <w:rPr>
          <w:sz w:val="28"/>
          <w:szCs w:val="28"/>
        </w:rPr>
        <w:t>о оси ординат – изучаемый параметр (%).</w:t>
      </w:r>
    </w:p>
    <w:p w:rsidR="00CA524F" w:rsidRPr="006B0B90" w:rsidRDefault="00CA524F">
      <w:pPr>
        <w:rPr>
          <w:sz w:val="10"/>
          <w:szCs w:val="10"/>
        </w:rPr>
      </w:pPr>
    </w:p>
    <w:p w:rsidR="00CA524F" w:rsidRDefault="00CA524F" w:rsidP="002554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рисунка </w:t>
      </w:r>
      <w:r w:rsidR="00976AA1">
        <w:rPr>
          <w:sz w:val="28"/>
          <w:szCs w:val="28"/>
        </w:rPr>
        <w:t xml:space="preserve">2 </w:t>
      </w:r>
      <w:r>
        <w:rPr>
          <w:sz w:val="28"/>
          <w:szCs w:val="28"/>
        </w:rPr>
        <w:t>в лучших европейских командах по гандболу, вклад высокорослых крайних игроков сост</w:t>
      </w:r>
      <w:r w:rsidR="00976AA1">
        <w:rPr>
          <w:sz w:val="28"/>
          <w:szCs w:val="28"/>
        </w:rPr>
        <w:t>авлял от 40-42 % (</w:t>
      </w:r>
      <w:r w:rsidR="0025544D">
        <w:rPr>
          <w:sz w:val="28"/>
          <w:szCs w:val="28"/>
        </w:rPr>
        <w:t xml:space="preserve">команды </w:t>
      </w:r>
      <w:r w:rsidR="00976AA1">
        <w:rPr>
          <w:sz w:val="28"/>
          <w:szCs w:val="28"/>
        </w:rPr>
        <w:t>Венгрии и Франции) до 60-70 % (</w:t>
      </w:r>
      <w:r w:rsidR="0025544D">
        <w:rPr>
          <w:sz w:val="28"/>
          <w:szCs w:val="28"/>
        </w:rPr>
        <w:t>команды Польши и Германии). В среднем по группе он равен 53 %, то есть больше половины.</w:t>
      </w:r>
    </w:p>
    <w:p w:rsidR="0025544D" w:rsidRDefault="0025544D" w:rsidP="002554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заявочных листов </w:t>
      </w:r>
      <w:r w:rsidR="00813F29">
        <w:rPr>
          <w:sz w:val="28"/>
          <w:szCs w:val="28"/>
        </w:rPr>
        <w:t>лучших</w:t>
      </w:r>
      <w:r>
        <w:rPr>
          <w:sz w:val="28"/>
          <w:szCs w:val="28"/>
        </w:rPr>
        <w:t xml:space="preserve"> шести команд чемпионата России по гандболу 2016 года позволил определить </w:t>
      </w:r>
      <w:r w:rsidR="00813F29">
        <w:rPr>
          <w:sz w:val="28"/>
          <w:szCs w:val="28"/>
        </w:rPr>
        <w:t xml:space="preserve">в них </w:t>
      </w:r>
      <w:r>
        <w:rPr>
          <w:sz w:val="28"/>
          <w:szCs w:val="28"/>
        </w:rPr>
        <w:t>процентное соотношение высоких и невысоких крайних игроков (Рисунок 3).</w:t>
      </w:r>
    </w:p>
    <w:p w:rsidR="0025544D" w:rsidRPr="006B0B90" w:rsidRDefault="003634FF" w:rsidP="006B0B90">
      <w:pPr>
        <w:ind w:firstLine="709"/>
        <w:jc w:val="both"/>
        <w:rPr>
          <w:sz w:val="8"/>
          <w:szCs w:val="8"/>
        </w:rPr>
      </w:pPr>
      <w:r>
        <w:rPr>
          <w:noProof/>
          <w:sz w:val="28"/>
          <w:szCs w:val="28"/>
        </w:rPr>
        <w:lastRenderedPageBreak/>
        <w:pict>
          <v:shape id="_x0000_s1086" type="#_x0000_t202" style="position:absolute;left:0;text-align:left;margin-left:433.05pt;margin-top:141.6pt;width:54.35pt;height:28.5pt;z-index:251727872" stroked="f">
            <v:textbox>
              <w:txbxContent>
                <w:p w:rsidR="00EA275F" w:rsidRPr="00EA275F" w:rsidRDefault="00EA275F" w:rsidP="00EA275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A275F">
                    <w:rPr>
                      <w:b/>
                      <w:sz w:val="18"/>
                      <w:szCs w:val="18"/>
                    </w:rPr>
                    <w:t>команды, города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5" type="#_x0000_t202" style="position:absolute;left:0;text-align:left;margin-left:369.1pt;margin-top:144.4pt;width:68.65pt;height:29.2pt;z-index:251726848" stroked="f">
            <v:textbox>
              <w:txbxContent>
                <w:p w:rsidR="00031213" w:rsidRPr="00031213" w:rsidRDefault="00031213" w:rsidP="0003121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31213">
                    <w:rPr>
                      <w:b/>
                      <w:sz w:val="16"/>
                      <w:szCs w:val="16"/>
                    </w:rPr>
                    <w:t>Динамо</w:t>
                  </w:r>
                </w:p>
                <w:p w:rsidR="00031213" w:rsidRPr="00031213" w:rsidRDefault="00031213" w:rsidP="0003121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Ставрополь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4" type="#_x0000_t202" style="position:absolute;left:0;text-align:left;margin-left:322.8pt;margin-top:143pt;width:50.4pt;height:28.75pt;z-index:251725824" stroked="f">
            <v:textbox>
              <w:txbxContent>
                <w:p w:rsidR="00031213" w:rsidRDefault="00031213" w:rsidP="0003121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СГАУ</w:t>
                  </w:r>
                </w:p>
                <w:p w:rsidR="00031213" w:rsidRPr="00031213" w:rsidRDefault="00031213" w:rsidP="0003121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Саратов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3" type="#_x0000_t202" style="position:absolute;left:0;text-align:left;margin-left:268.45pt;margin-top:141.6pt;width:53.65pt;height:32pt;z-index:251724800" stroked="f">
            <v:textbox>
              <w:txbxContent>
                <w:p w:rsidR="00662D9C" w:rsidRPr="00031213" w:rsidRDefault="00031213" w:rsidP="0003121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31213">
                    <w:rPr>
                      <w:b/>
                      <w:sz w:val="16"/>
                      <w:szCs w:val="16"/>
                    </w:rPr>
                    <w:t>Динамо</w:t>
                  </w:r>
                </w:p>
                <w:p w:rsidR="00031213" w:rsidRPr="00031213" w:rsidRDefault="00031213" w:rsidP="0003121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31213">
                    <w:rPr>
                      <w:b/>
                      <w:sz w:val="16"/>
                      <w:szCs w:val="16"/>
                    </w:rPr>
                    <w:t>Астрахань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2" type="#_x0000_t202" style="position:absolute;left:0;text-align:left;margin-left:213.15pt;margin-top:141.6pt;width:56.2pt;height:39.4pt;z-index:251723776" stroked="f">
            <v:textbox>
              <w:txbxContent>
                <w:p w:rsidR="00031213" w:rsidRDefault="00662D9C" w:rsidP="0003121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Нева</w:t>
                  </w:r>
                </w:p>
                <w:p w:rsidR="00662D9C" w:rsidRPr="00031213" w:rsidRDefault="00662D9C" w:rsidP="0003121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62D9C">
                    <w:rPr>
                      <w:b/>
                      <w:sz w:val="16"/>
                      <w:szCs w:val="16"/>
                    </w:rPr>
                    <w:t>Санкт-Петербург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1" type="#_x0000_t202" style="position:absolute;left:0;text-align:left;margin-left:151.8pt;margin-top:140.2pt;width:61.35pt;height:39.4pt;z-index:251722752" stroked="f">
            <v:textbox>
              <w:txbxContent>
                <w:p w:rsidR="00662D9C" w:rsidRDefault="00662D9C" w:rsidP="00662D9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62D9C">
                    <w:rPr>
                      <w:b/>
                      <w:sz w:val="16"/>
                      <w:szCs w:val="16"/>
                    </w:rPr>
                    <w:t>Пермские</w:t>
                  </w:r>
                </w:p>
                <w:p w:rsidR="00662D9C" w:rsidRDefault="00662D9C" w:rsidP="00662D9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62D9C">
                    <w:rPr>
                      <w:b/>
                      <w:sz w:val="16"/>
                      <w:szCs w:val="16"/>
                    </w:rPr>
                    <w:t xml:space="preserve">медведи </w:t>
                  </w:r>
                </w:p>
                <w:p w:rsidR="00662D9C" w:rsidRDefault="00662D9C" w:rsidP="00662D9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Пермь</w:t>
                  </w:r>
                </w:p>
                <w:p w:rsidR="00662D9C" w:rsidRDefault="00662D9C" w:rsidP="00662D9C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0" type="#_x0000_t202" style="position:absolute;left:0;text-align:left;margin-left:97.4pt;margin-top:139.5pt;width:57.75pt;height:39.4pt;z-index:251721728" stroked="f">
            <v:textbox>
              <w:txbxContent>
                <w:p w:rsidR="00662D9C" w:rsidRDefault="00662D9C" w:rsidP="00662D9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62D9C">
                    <w:rPr>
                      <w:b/>
                      <w:sz w:val="16"/>
                      <w:szCs w:val="16"/>
                    </w:rPr>
                    <w:t>Чеховские</w:t>
                  </w:r>
                </w:p>
                <w:p w:rsidR="00662D9C" w:rsidRDefault="00662D9C" w:rsidP="00662D9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62D9C">
                    <w:rPr>
                      <w:b/>
                      <w:sz w:val="16"/>
                      <w:szCs w:val="16"/>
                    </w:rPr>
                    <w:t xml:space="preserve">медведи </w:t>
                  </w:r>
                </w:p>
                <w:p w:rsidR="00662D9C" w:rsidRDefault="00662D9C" w:rsidP="00662D9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Чехов</w:t>
                  </w:r>
                </w:p>
                <w:p w:rsidR="00662D9C" w:rsidRDefault="00662D9C"/>
              </w:txbxContent>
            </v:textbox>
          </v:shape>
        </w:pict>
      </w:r>
      <w:r w:rsidR="00AC52AC">
        <w:rPr>
          <w:noProof/>
          <w:sz w:val="28"/>
          <w:szCs w:val="28"/>
        </w:rPr>
        <w:drawing>
          <wp:inline distT="0" distB="0" distL="0" distR="0">
            <wp:extent cx="5670574" cy="2406770"/>
            <wp:effectExtent l="19050" t="0" r="6326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24BC7" w:rsidRDefault="00624BC7" w:rsidP="00234C8B">
      <w:pPr>
        <w:tabs>
          <w:tab w:val="left" w:pos="1701"/>
        </w:tabs>
        <w:ind w:left="1701" w:hanging="992"/>
        <w:jc w:val="both"/>
        <w:rPr>
          <w:sz w:val="28"/>
          <w:szCs w:val="28"/>
        </w:rPr>
      </w:pPr>
      <w:r>
        <w:rPr>
          <w:sz w:val="28"/>
          <w:szCs w:val="28"/>
        </w:rPr>
        <w:t>Рис. 3.</w:t>
      </w:r>
      <w:r>
        <w:rPr>
          <w:sz w:val="28"/>
          <w:szCs w:val="28"/>
        </w:rPr>
        <w:tab/>
        <w:t>Доля высокорослых крайних игроков в общем их количестве в шести лучших командах чемпионата России по гандболу 2016 года.</w:t>
      </w:r>
      <w:r w:rsidR="00234C8B">
        <w:rPr>
          <w:sz w:val="28"/>
          <w:szCs w:val="28"/>
        </w:rPr>
        <w:t xml:space="preserve"> </w:t>
      </w:r>
      <w:r>
        <w:rPr>
          <w:sz w:val="28"/>
          <w:szCs w:val="28"/>
        </w:rPr>
        <w:t>По оси абсцисс – муж</w:t>
      </w:r>
      <w:r w:rsidR="00234C8B">
        <w:rPr>
          <w:sz w:val="28"/>
          <w:szCs w:val="28"/>
        </w:rPr>
        <w:t>ские гандбольные команды России. П</w:t>
      </w:r>
      <w:r>
        <w:rPr>
          <w:sz w:val="28"/>
          <w:szCs w:val="28"/>
        </w:rPr>
        <w:t>о оси ординат – изучаемый параметр (%).</w:t>
      </w:r>
    </w:p>
    <w:p w:rsidR="006B0B90" w:rsidRDefault="0037754E" w:rsidP="002554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видно их рисунка 3 в шести лучших мужских командах российской гандбольной суп</w:t>
      </w:r>
      <w:r w:rsidR="003634FF">
        <w:rPr>
          <w:sz w:val="28"/>
          <w:szCs w:val="28"/>
        </w:rPr>
        <w:t>е</w:t>
      </w:r>
      <w:r>
        <w:rPr>
          <w:sz w:val="28"/>
          <w:szCs w:val="28"/>
        </w:rPr>
        <w:t>рлиги 2016 года доля высокорослых крайних игроков не превышает 20 % от их общего числа (исключение составляет команда «Чеховские медведи» из города Чехов</w:t>
      </w:r>
      <w:r w:rsidR="00234C8B">
        <w:rPr>
          <w:sz w:val="28"/>
          <w:szCs w:val="28"/>
        </w:rPr>
        <w:t>,</w:t>
      </w:r>
      <w:r>
        <w:rPr>
          <w:sz w:val="28"/>
          <w:szCs w:val="28"/>
        </w:rPr>
        <w:t xml:space="preserve"> Московской области – 50 %). Среднее значение этого важного п</w:t>
      </w:r>
      <w:r w:rsidR="00234C8B">
        <w:rPr>
          <w:sz w:val="28"/>
          <w:szCs w:val="28"/>
        </w:rPr>
        <w:t>оказателя комплектования команд</w:t>
      </w:r>
      <w:r>
        <w:rPr>
          <w:sz w:val="28"/>
          <w:szCs w:val="28"/>
        </w:rPr>
        <w:t xml:space="preserve"> составляет 19,7 %, что в 2,7 раза меньше чем в лучших европейских клубах.</w:t>
      </w:r>
    </w:p>
    <w:p w:rsidR="0037754E" w:rsidRDefault="0037754E" w:rsidP="002554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можно с уверенностью констатировать, что благодаря тренерам ведущих сборных команд Европы, которые стали вводить в составы высоких крайних игроков, выросла результативность </w:t>
      </w:r>
      <w:r w:rsidR="00234C8B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атакующих действий. Подобная тенденция наблюдается и в лучших клубных командах Европы. </w:t>
      </w:r>
      <w:r w:rsidR="00DF2DF4">
        <w:rPr>
          <w:sz w:val="28"/>
          <w:szCs w:val="28"/>
        </w:rPr>
        <w:t>Тренерам гандбольных клубов России необходимо обратить внимание на данную тенденцию при комплектовании своих команд.</w:t>
      </w:r>
    </w:p>
    <w:p w:rsidR="00DF2DF4" w:rsidRDefault="003634FF" w:rsidP="002554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Заключение. Результаты проведё</w:t>
      </w:r>
      <w:r w:rsidR="00DF2DF4">
        <w:rPr>
          <w:sz w:val="28"/>
          <w:szCs w:val="28"/>
        </w:rPr>
        <w:t>нного исследования позволили обнаружить тенденцию увеличения числа высокорослых (свыше 187 см) крайних игроков в лучших зарубежных командах, обусловливающую увеличение результативности их атакующих действий.</w:t>
      </w:r>
    </w:p>
    <w:p w:rsidR="00DF2DF4" w:rsidRDefault="00DF2DF4" w:rsidP="002554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отставание (в 2,7 раза) российских гандбольных клубов от зарубежных в этом компоненте является одной из причин их невыразительной игры в международных турнирах.</w:t>
      </w:r>
    </w:p>
    <w:p w:rsidR="00DF2DF4" w:rsidRDefault="00DF2DF4" w:rsidP="002554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Целенаправленная подготовка высокорослых крайних игроков, формирование у них хорошей прыгучести и координации движений, будет способствовать росту их атакующего потенциала и повышению конкурентоспособности на международной арене.</w:t>
      </w:r>
    </w:p>
    <w:p w:rsidR="001107E0" w:rsidRDefault="001107E0" w:rsidP="001107E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1004D">
        <w:rPr>
          <w:b/>
          <w:sz w:val="28"/>
          <w:szCs w:val="28"/>
        </w:rPr>
        <w:t>Литература</w:t>
      </w:r>
      <w:r>
        <w:rPr>
          <w:b/>
          <w:sz w:val="28"/>
          <w:szCs w:val="28"/>
        </w:rPr>
        <w:t>.</w:t>
      </w:r>
    </w:p>
    <w:p w:rsidR="00163859" w:rsidRPr="00826C23" w:rsidRDefault="00163859" w:rsidP="00163859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F3">
        <w:rPr>
          <w:rFonts w:ascii="Times New Roman" w:hAnsi="Times New Roman" w:cs="Times New Roman"/>
          <w:sz w:val="28"/>
          <w:szCs w:val="28"/>
        </w:rPr>
        <w:t>Годик М.А. Комплексный контроль в спортивных играх / М.А. Годик, А.П. Скородумова. – М.: Советский спорт, 2010. – 336 с.</w:t>
      </w:r>
    </w:p>
    <w:p w:rsidR="00163859" w:rsidRPr="00D112F3" w:rsidRDefault="00163859" w:rsidP="00163859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Зайцев Ю.Г. </w:t>
      </w:r>
      <w:r w:rsidRPr="00D112F3">
        <w:rPr>
          <w:rFonts w:ascii="Times New Roman" w:hAnsi="Times New Roman" w:cs="Times New Roman"/>
          <w:sz w:val="28"/>
          <w:szCs w:val="28"/>
        </w:rPr>
        <w:t>Использование модельных весоростовых характеристик олимпийцев 2008 года при подготовке российских гандболистов к международным соревнованиям</w:t>
      </w:r>
      <w:r>
        <w:rPr>
          <w:rFonts w:ascii="Times New Roman" w:hAnsi="Times New Roman" w:cs="Times New Roman"/>
          <w:sz w:val="28"/>
          <w:szCs w:val="28"/>
        </w:rPr>
        <w:t xml:space="preserve"> / Ю.Г. Зайцев, В.В. Костюков. - </w:t>
      </w:r>
      <w:r w:rsidRPr="00D112F3">
        <w:rPr>
          <w:rFonts w:ascii="Times New Roman" w:hAnsi="Times New Roman" w:cs="Times New Roman"/>
          <w:sz w:val="28"/>
          <w:szCs w:val="28"/>
        </w:rPr>
        <w:t>Материалы межд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12F3">
        <w:rPr>
          <w:rFonts w:ascii="Times New Roman" w:hAnsi="Times New Roman" w:cs="Times New Roman"/>
          <w:sz w:val="28"/>
          <w:szCs w:val="28"/>
        </w:rPr>
        <w:t xml:space="preserve"> научно-практич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12F3">
        <w:rPr>
          <w:rFonts w:ascii="Times New Roman" w:hAnsi="Times New Roman" w:cs="Times New Roman"/>
          <w:sz w:val="28"/>
          <w:szCs w:val="28"/>
        </w:rPr>
        <w:t xml:space="preserve"> конф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12F3">
        <w:rPr>
          <w:rFonts w:ascii="Times New Roman" w:hAnsi="Times New Roman" w:cs="Times New Roman"/>
          <w:sz w:val="28"/>
          <w:szCs w:val="28"/>
        </w:rPr>
        <w:t xml:space="preserve"> «Современные аспекты подготовки кадров для олимпийских и паралимпийских игр: Ванкувер-Лондон-Сочи»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D112F3">
        <w:rPr>
          <w:rFonts w:ascii="Times New Roman" w:hAnsi="Times New Roman" w:cs="Times New Roman"/>
          <w:sz w:val="28"/>
          <w:szCs w:val="28"/>
        </w:rPr>
        <w:t>Краснодар: КГУФКСТ, 2010.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2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2F3">
        <w:rPr>
          <w:rFonts w:ascii="Times New Roman" w:hAnsi="Times New Roman" w:cs="Times New Roman"/>
          <w:sz w:val="28"/>
          <w:szCs w:val="28"/>
        </w:rPr>
        <w:t>С. 126-127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859" w:rsidRPr="00CD2E5A" w:rsidRDefault="00D112F3" w:rsidP="00163859">
      <w:pPr>
        <w:numPr>
          <w:ilvl w:val="0"/>
          <w:numId w:val="2"/>
        </w:numPr>
        <w:tabs>
          <w:tab w:val="num" w:pos="1134"/>
        </w:tabs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r w:rsidRPr="008F0FFD">
        <w:rPr>
          <w:spacing w:val="-4"/>
          <w:sz w:val="28"/>
          <w:szCs w:val="28"/>
        </w:rPr>
        <w:t>Платонов В.Н. Система подготовки спортсменов в олимпийском</w:t>
      </w:r>
      <w:r w:rsidRPr="009D6279">
        <w:rPr>
          <w:spacing w:val="-4"/>
          <w:sz w:val="28"/>
          <w:szCs w:val="28"/>
        </w:rPr>
        <w:t xml:space="preserve"> спорте. Общая теория и ее практические приложения: учебник (для тренеров): 2кн. / В.Н. Платонов. – Олимп. лит., 2015. –  Кн.1. - 680 с.; Кн.2. – 752 с.</w:t>
      </w:r>
    </w:p>
    <w:p w:rsidR="00CD2E5A" w:rsidRPr="00784F93" w:rsidRDefault="00CD2E5A" w:rsidP="00CD2E5A">
      <w:pPr>
        <w:spacing w:line="360" w:lineRule="auto"/>
        <w:ind w:left="709"/>
        <w:jc w:val="both"/>
        <w:rPr>
          <w:spacing w:val="-4"/>
          <w:sz w:val="28"/>
          <w:szCs w:val="28"/>
        </w:rPr>
      </w:pPr>
    </w:p>
    <w:p w:rsidR="00CD2E5A" w:rsidRDefault="00784F93" w:rsidP="00CD2E5A">
      <w:pPr>
        <w:spacing w:line="360" w:lineRule="auto"/>
        <w:ind w:firstLine="709"/>
        <w:jc w:val="both"/>
        <w:rPr>
          <w:spacing w:val="-4"/>
          <w:sz w:val="28"/>
          <w:szCs w:val="28"/>
          <w:lang w:val="en-US"/>
        </w:rPr>
      </w:pPr>
      <w:r w:rsidRPr="00784F93">
        <w:rPr>
          <w:spacing w:val="-4"/>
          <w:sz w:val="28"/>
          <w:szCs w:val="28"/>
          <w:lang w:val="en-US"/>
        </w:rPr>
        <w:t>1.</w:t>
      </w:r>
      <w:r w:rsidRPr="00784F93">
        <w:rPr>
          <w:spacing w:val="-4"/>
          <w:sz w:val="28"/>
          <w:szCs w:val="28"/>
          <w:lang w:val="en-US"/>
        </w:rPr>
        <w:tab/>
        <w:t>Godik M.A.</w:t>
      </w:r>
      <w:r>
        <w:rPr>
          <w:spacing w:val="-4"/>
          <w:sz w:val="28"/>
          <w:szCs w:val="28"/>
          <w:lang w:val="en-US"/>
        </w:rPr>
        <w:t>,</w:t>
      </w:r>
      <w:r w:rsidRPr="00784F93">
        <w:rPr>
          <w:spacing w:val="-4"/>
          <w:sz w:val="28"/>
          <w:szCs w:val="28"/>
          <w:lang w:val="en-US"/>
        </w:rPr>
        <w:t xml:space="preserve"> Skorodumova</w:t>
      </w:r>
      <w:r w:rsidRPr="00784F93">
        <w:rPr>
          <w:i/>
          <w:spacing w:val="-4"/>
          <w:sz w:val="28"/>
          <w:szCs w:val="28"/>
          <w:lang w:val="en-US"/>
        </w:rPr>
        <w:t xml:space="preserve"> </w:t>
      </w:r>
      <w:r w:rsidRPr="00784F93">
        <w:rPr>
          <w:spacing w:val="-4"/>
          <w:sz w:val="28"/>
          <w:szCs w:val="28"/>
          <w:lang w:val="en-US"/>
        </w:rPr>
        <w:t>A.P.</w:t>
      </w:r>
      <w:r>
        <w:rPr>
          <w:spacing w:val="-4"/>
          <w:sz w:val="28"/>
          <w:szCs w:val="28"/>
          <w:lang w:val="en-US"/>
        </w:rPr>
        <w:t xml:space="preserve"> </w:t>
      </w:r>
      <w:r w:rsidRPr="00784F93">
        <w:rPr>
          <w:i/>
          <w:spacing w:val="-4"/>
          <w:sz w:val="28"/>
          <w:szCs w:val="28"/>
          <w:lang w:val="en-US"/>
        </w:rPr>
        <w:t>Kompleksnyi kontrol' v sportivnykh igrakh</w:t>
      </w:r>
      <w:r>
        <w:rPr>
          <w:spacing w:val="-4"/>
          <w:sz w:val="28"/>
          <w:szCs w:val="28"/>
          <w:lang w:val="en-US"/>
        </w:rPr>
        <w:t>[</w:t>
      </w:r>
      <w:r w:rsidRPr="00784F93">
        <w:rPr>
          <w:spacing w:val="-4"/>
          <w:sz w:val="28"/>
          <w:szCs w:val="28"/>
          <w:lang w:val="en-US"/>
        </w:rPr>
        <w:t>Integrated control in sports games</w:t>
      </w:r>
      <w:r>
        <w:rPr>
          <w:spacing w:val="-4"/>
          <w:sz w:val="28"/>
          <w:szCs w:val="28"/>
          <w:lang w:val="en-US"/>
        </w:rPr>
        <w:t xml:space="preserve">]. </w:t>
      </w:r>
      <w:r w:rsidRPr="00E85B6D">
        <w:rPr>
          <w:spacing w:val="-4"/>
          <w:sz w:val="28"/>
          <w:szCs w:val="28"/>
          <w:lang w:val="en-US"/>
        </w:rPr>
        <w:t>Moscow,</w:t>
      </w:r>
      <w:r w:rsidRPr="00E85B6D">
        <w:rPr>
          <w:lang w:val="en-US"/>
        </w:rPr>
        <w:t xml:space="preserve"> </w:t>
      </w:r>
      <w:r>
        <w:rPr>
          <w:spacing w:val="-4"/>
          <w:sz w:val="28"/>
          <w:szCs w:val="28"/>
          <w:lang w:val="en-US"/>
        </w:rPr>
        <w:t>Soviet sport</w:t>
      </w:r>
      <w:r w:rsidRPr="00784F93">
        <w:rPr>
          <w:spacing w:val="-4"/>
          <w:sz w:val="28"/>
          <w:szCs w:val="28"/>
          <w:lang w:val="en-US"/>
        </w:rPr>
        <w:t>, 2010</w:t>
      </w:r>
      <w:r>
        <w:rPr>
          <w:spacing w:val="-4"/>
          <w:sz w:val="28"/>
          <w:szCs w:val="28"/>
          <w:lang w:val="en-US"/>
        </w:rPr>
        <w:t>, 336 p</w:t>
      </w:r>
      <w:r w:rsidRPr="00784F93">
        <w:rPr>
          <w:spacing w:val="-4"/>
          <w:sz w:val="28"/>
          <w:szCs w:val="28"/>
          <w:lang w:val="en-US"/>
        </w:rPr>
        <w:t xml:space="preserve">. </w:t>
      </w:r>
      <w:r w:rsidR="00CD2E5A">
        <w:rPr>
          <w:spacing w:val="-4"/>
          <w:sz w:val="28"/>
          <w:szCs w:val="28"/>
          <w:lang w:val="en-US"/>
        </w:rPr>
        <w:t>(in Russian)</w:t>
      </w:r>
    </w:p>
    <w:p w:rsidR="00CD2E5A" w:rsidRDefault="00CD2E5A" w:rsidP="00CD2E5A">
      <w:pPr>
        <w:spacing w:line="360" w:lineRule="auto"/>
        <w:ind w:firstLine="709"/>
        <w:jc w:val="both"/>
        <w:rPr>
          <w:spacing w:val="-4"/>
          <w:sz w:val="28"/>
          <w:szCs w:val="28"/>
          <w:lang w:val="en-US"/>
        </w:rPr>
      </w:pPr>
      <w:r w:rsidRPr="00CD2E5A">
        <w:rPr>
          <w:spacing w:val="-4"/>
          <w:sz w:val="28"/>
          <w:szCs w:val="28"/>
          <w:lang w:val="en-US"/>
        </w:rPr>
        <w:t>2.</w:t>
      </w:r>
      <w:r w:rsidRPr="00CD2E5A">
        <w:rPr>
          <w:spacing w:val="-4"/>
          <w:sz w:val="28"/>
          <w:szCs w:val="28"/>
          <w:lang w:val="en-US"/>
        </w:rPr>
        <w:tab/>
        <w:t xml:space="preserve">Zaitsev Iu.G. Ispol'zovanie model'nykh vesorostovykh kharakteristik olimpiitsev 2008 goda pri podgotovke rossiiskikh gandbolistov k mezhdunarodnym sorevnovaniiam </w:t>
      </w:r>
      <w:r w:rsidRPr="00CD2E5A">
        <w:rPr>
          <w:i/>
          <w:spacing w:val="-4"/>
          <w:sz w:val="28"/>
          <w:szCs w:val="28"/>
          <w:lang w:val="en-US"/>
        </w:rPr>
        <w:t>Sovremennye aspekty podgotovki kadrov dlia olimpiiskikh i paralimpiiskikh igr: Vankuver-London-Sochi</w:t>
      </w:r>
      <w:r>
        <w:rPr>
          <w:i/>
          <w:spacing w:val="-4"/>
          <w:sz w:val="28"/>
          <w:szCs w:val="28"/>
          <w:lang w:val="en-US"/>
        </w:rPr>
        <w:t xml:space="preserve"> </w:t>
      </w:r>
      <w:r>
        <w:rPr>
          <w:spacing w:val="-4"/>
          <w:sz w:val="28"/>
          <w:szCs w:val="28"/>
          <w:lang w:val="en-US"/>
        </w:rPr>
        <w:t>[</w:t>
      </w:r>
      <w:r w:rsidRPr="00CD2E5A">
        <w:rPr>
          <w:spacing w:val="-4"/>
          <w:sz w:val="28"/>
          <w:szCs w:val="28"/>
          <w:lang w:val="en-US"/>
        </w:rPr>
        <w:t>Modern aspects of personnel training for the Olympic and Paralympic games: Vancouver-London-Sochi</w:t>
      </w:r>
      <w:r>
        <w:rPr>
          <w:spacing w:val="-4"/>
          <w:sz w:val="28"/>
          <w:szCs w:val="28"/>
          <w:lang w:val="en-US"/>
        </w:rPr>
        <w:t xml:space="preserve">]. </w:t>
      </w:r>
      <w:r w:rsidRPr="00CD2E5A">
        <w:rPr>
          <w:spacing w:val="-4"/>
          <w:sz w:val="28"/>
          <w:szCs w:val="28"/>
          <w:lang w:val="en-US"/>
        </w:rPr>
        <w:t xml:space="preserve"> Krasnodar: KGUFKST, 2010. </w:t>
      </w:r>
      <w:r>
        <w:rPr>
          <w:spacing w:val="-4"/>
          <w:sz w:val="28"/>
          <w:szCs w:val="28"/>
          <w:lang w:val="en-US"/>
        </w:rPr>
        <w:t>pp</w:t>
      </w:r>
      <w:r w:rsidRPr="00CD2E5A">
        <w:rPr>
          <w:spacing w:val="-4"/>
          <w:sz w:val="28"/>
          <w:szCs w:val="28"/>
          <w:lang w:val="en-US"/>
        </w:rPr>
        <w:t>. 126-127.</w:t>
      </w:r>
      <w:r>
        <w:rPr>
          <w:spacing w:val="-4"/>
          <w:sz w:val="28"/>
          <w:szCs w:val="28"/>
          <w:lang w:val="en-US"/>
        </w:rPr>
        <w:t xml:space="preserve"> (in Russian)</w:t>
      </w:r>
    </w:p>
    <w:p w:rsidR="00CD2E5A" w:rsidRPr="00CD2E5A" w:rsidRDefault="00CD2E5A" w:rsidP="00CD2E5A">
      <w:pPr>
        <w:spacing w:line="360" w:lineRule="auto"/>
        <w:ind w:firstLine="709"/>
        <w:jc w:val="both"/>
        <w:rPr>
          <w:spacing w:val="-4"/>
          <w:sz w:val="28"/>
          <w:szCs w:val="28"/>
          <w:lang w:val="en-US"/>
        </w:rPr>
      </w:pPr>
      <w:r>
        <w:rPr>
          <w:spacing w:val="-4"/>
          <w:sz w:val="28"/>
          <w:szCs w:val="28"/>
          <w:lang w:val="en-US"/>
        </w:rPr>
        <w:t>3.</w:t>
      </w:r>
      <w:r>
        <w:rPr>
          <w:spacing w:val="-4"/>
          <w:sz w:val="28"/>
          <w:szCs w:val="28"/>
          <w:lang w:val="en-US"/>
        </w:rPr>
        <w:tab/>
      </w:r>
      <w:r w:rsidRPr="00CD2E5A">
        <w:rPr>
          <w:spacing w:val="-4"/>
          <w:sz w:val="28"/>
          <w:szCs w:val="28"/>
          <w:lang w:val="en-US"/>
        </w:rPr>
        <w:t>Platonov V.N. The system of preparation of sportsmen in Olympic sport. The General theory and its practical applications: a tutorial (for coaches). 2kn. Olimp. lit., 2015, Kn.1. 680 p. Kn.2. 752 p.</w:t>
      </w:r>
      <w:r w:rsidR="00E406D6" w:rsidRPr="00E406D6">
        <w:rPr>
          <w:spacing w:val="-4"/>
          <w:sz w:val="28"/>
          <w:szCs w:val="28"/>
          <w:lang w:val="en-US"/>
        </w:rPr>
        <w:t xml:space="preserve"> </w:t>
      </w:r>
      <w:r w:rsidR="00E406D6">
        <w:rPr>
          <w:spacing w:val="-4"/>
          <w:sz w:val="28"/>
          <w:szCs w:val="28"/>
          <w:lang w:val="en-US"/>
        </w:rPr>
        <w:t>(in Russian)</w:t>
      </w:r>
    </w:p>
    <w:sectPr w:rsidR="00CD2E5A" w:rsidRPr="00CD2E5A" w:rsidSect="005E7116">
      <w:headerReference w:type="default" r:id="rId12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B8D" w:rsidRDefault="00DE4B8D" w:rsidP="005E7116">
      <w:r>
        <w:separator/>
      </w:r>
    </w:p>
  </w:endnote>
  <w:endnote w:type="continuationSeparator" w:id="0">
    <w:p w:rsidR="00DE4B8D" w:rsidRDefault="00DE4B8D" w:rsidP="005E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B8D" w:rsidRDefault="00DE4B8D" w:rsidP="005E7116">
      <w:r>
        <w:separator/>
      </w:r>
    </w:p>
  </w:footnote>
  <w:footnote w:type="continuationSeparator" w:id="0">
    <w:p w:rsidR="00DE4B8D" w:rsidRDefault="00DE4B8D" w:rsidP="005E7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1348"/>
      <w:docPartObj>
        <w:docPartGallery w:val="Page Numbers (Top of Page)"/>
        <w:docPartUnique/>
      </w:docPartObj>
    </w:sdtPr>
    <w:sdtEndPr/>
    <w:sdtContent>
      <w:p w:rsidR="00F30F70" w:rsidRDefault="003634FF" w:rsidP="005E711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291B"/>
    <w:multiLevelType w:val="hybridMultilevel"/>
    <w:tmpl w:val="683AEDA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7801BC6"/>
    <w:multiLevelType w:val="hybridMultilevel"/>
    <w:tmpl w:val="5F42E90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C2D0E"/>
    <w:multiLevelType w:val="hybridMultilevel"/>
    <w:tmpl w:val="64A6A68E"/>
    <w:lvl w:ilvl="0" w:tplc="258CCA80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0740AD"/>
    <w:multiLevelType w:val="hybridMultilevel"/>
    <w:tmpl w:val="A7D2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E1975"/>
    <w:multiLevelType w:val="hybridMultilevel"/>
    <w:tmpl w:val="91225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A6DDF"/>
    <w:multiLevelType w:val="hybridMultilevel"/>
    <w:tmpl w:val="841A82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B2B"/>
    <w:rsid w:val="000026F1"/>
    <w:rsid w:val="00031213"/>
    <w:rsid w:val="00031350"/>
    <w:rsid w:val="00050E69"/>
    <w:rsid w:val="00070352"/>
    <w:rsid w:val="000B4DEF"/>
    <w:rsid w:val="000E5601"/>
    <w:rsid w:val="000F5B2F"/>
    <w:rsid w:val="001107E0"/>
    <w:rsid w:val="001150B7"/>
    <w:rsid w:val="001162ED"/>
    <w:rsid w:val="00130BF3"/>
    <w:rsid w:val="001311AD"/>
    <w:rsid w:val="00132DFB"/>
    <w:rsid w:val="00161B48"/>
    <w:rsid w:val="00163859"/>
    <w:rsid w:val="0017457B"/>
    <w:rsid w:val="00174725"/>
    <w:rsid w:val="001805E7"/>
    <w:rsid w:val="001A2D47"/>
    <w:rsid w:val="001C183C"/>
    <w:rsid w:val="001C32A3"/>
    <w:rsid w:val="001C3ABA"/>
    <w:rsid w:val="001D2574"/>
    <w:rsid w:val="001D2FAC"/>
    <w:rsid w:val="001D518E"/>
    <w:rsid w:val="001E639C"/>
    <w:rsid w:val="001F0D87"/>
    <w:rsid w:val="0021219C"/>
    <w:rsid w:val="00234C8B"/>
    <w:rsid w:val="00242D4F"/>
    <w:rsid w:val="00243088"/>
    <w:rsid w:val="0025544D"/>
    <w:rsid w:val="00263FC3"/>
    <w:rsid w:val="00270653"/>
    <w:rsid w:val="00272F16"/>
    <w:rsid w:val="002772CE"/>
    <w:rsid w:val="002828F9"/>
    <w:rsid w:val="002A18FB"/>
    <w:rsid w:val="002A5B85"/>
    <w:rsid w:val="002D0982"/>
    <w:rsid w:val="003068AC"/>
    <w:rsid w:val="003114A1"/>
    <w:rsid w:val="00331881"/>
    <w:rsid w:val="0036151B"/>
    <w:rsid w:val="003634FF"/>
    <w:rsid w:val="0037754E"/>
    <w:rsid w:val="003844B0"/>
    <w:rsid w:val="00397607"/>
    <w:rsid w:val="003C0828"/>
    <w:rsid w:val="003C3EA4"/>
    <w:rsid w:val="003E0518"/>
    <w:rsid w:val="004011EB"/>
    <w:rsid w:val="00405BC0"/>
    <w:rsid w:val="004315F7"/>
    <w:rsid w:val="00442428"/>
    <w:rsid w:val="0045058E"/>
    <w:rsid w:val="00450981"/>
    <w:rsid w:val="004763E8"/>
    <w:rsid w:val="004A0446"/>
    <w:rsid w:val="004A43F4"/>
    <w:rsid w:val="004A65E4"/>
    <w:rsid w:val="004B3F63"/>
    <w:rsid w:val="004C6EE8"/>
    <w:rsid w:val="004D6B2B"/>
    <w:rsid w:val="004D6BA0"/>
    <w:rsid w:val="00514EC8"/>
    <w:rsid w:val="00535CF0"/>
    <w:rsid w:val="00581AF6"/>
    <w:rsid w:val="00586E3E"/>
    <w:rsid w:val="005A555A"/>
    <w:rsid w:val="005A5BFA"/>
    <w:rsid w:val="005A6698"/>
    <w:rsid w:val="005B5985"/>
    <w:rsid w:val="005D105A"/>
    <w:rsid w:val="005E1CC5"/>
    <w:rsid w:val="005E7116"/>
    <w:rsid w:val="005F15AF"/>
    <w:rsid w:val="0061004D"/>
    <w:rsid w:val="00616274"/>
    <w:rsid w:val="00624BC7"/>
    <w:rsid w:val="00626795"/>
    <w:rsid w:val="00662D9C"/>
    <w:rsid w:val="00667841"/>
    <w:rsid w:val="00673E28"/>
    <w:rsid w:val="006B0B90"/>
    <w:rsid w:val="006D429D"/>
    <w:rsid w:val="006F142B"/>
    <w:rsid w:val="007028F1"/>
    <w:rsid w:val="0072502C"/>
    <w:rsid w:val="00736DF9"/>
    <w:rsid w:val="007603A9"/>
    <w:rsid w:val="00773779"/>
    <w:rsid w:val="00784F93"/>
    <w:rsid w:val="007A4893"/>
    <w:rsid w:val="007C683B"/>
    <w:rsid w:val="007E2671"/>
    <w:rsid w:val="007F5FB4"/>
    <w:rsid w:val="00813F29"/>
    <w:rsid w:val="00826C23"/>
    <w:rsid w:val="00827CF8"/>
    <w:rsid w:val="00832A21"/>
    <w:rsid w:val="008466B1"/>
    <w:rsid w:val="008525AD"/>
    <w:rsid w:val="00870173"/>
    <w:rsid w:val="0089287A"/>
    <w:rsid w:val="008A6492"/>
    <w:rsid w:val="008E216A"/>
    <w:rsid w:val="008E3D78"/>
    <w:rsid w:val="008F0FFD"/>
    <w:rsid w:val="008F35E8"/>
    <w:rsid w:val="00905FAA"/>
    <w:rsid w:val="0091189A"/>
    <w:rsid w:val="00912B08"/>
    <w:rsid w:val="009153F6"/>
    <w:rsid w:val="00915C00"/>
    <w:rsid w:val="00915D0F"/>
    <w:rsid w:val="009178F6"/>
    <w:rsid w:val="00932B86"/>
    <w:rsid w:val="00956814"/>
    <w:rsid w:val="00976AA1"/>
    <w:rsid w:val="009903E9"/>
    <w:rsid w:val="009A7B2D"/>
    <w:rsid w:val="009C36B6"/>
    <w:rsid w:val="009C3B46"/>
    <w:rsid w:val="00A054DA"/>
    <w:rsid w:val="00A10D7F"/>
    <w:rsid w:val="00A410AD"/>
    <w:rsid w:val="00A75F3B"/>
    <w:rsid w:val="00A94927"/>
    <w:rsid w:val="00AA0359"/>
    <w:rsid w:val="00AA4859"/>
    <w:rsid w:val="00AB16E2"/>
    <w:rsid w:val="00AB348E"/>
    <w:rsid w:val="00AC52AC"/>
    <w:rsid w:val="00AD4F9F"/>
    <w:rsid w:val="00AE0602"/>
    <w:rsid w:val="00B16E82"/>
    <w:rsid w:val="00B20C2F"/>
    <w:rsid w:val="00B443E6"/>
    <w:rsid w:val="00B44C3B"/>
    <w:rsid w:val="00B511F0"/>
    <w:rsid w:val="00BB650A"/>
    <w:rsid w:val="00BE4823"/>
    <w:rsid w:val="00BE7583"/>
    <w:rsid w:val="00C20A1B"/>
    <w:rsid w:val="00C22BE0"/>
    <w:rsid w:val="00C40682"/>
    <w:rsid w:val="00C90631"/>
    <w:rsid w:val="00C9341A"/>
    <w:rsid w:val="00CA524F"/>
    <w:rsid w:val="00CD2E5A"/>
    <w:rsid w:val="00CF3FFB"/>
    <w:rsid w:val="00D0436A"/>
    <w:rsid w:val="00D112F3"/>
    <w:rsid w:val="00D221A4"/>
    <w:rsid w:val="00D43AE4"/>
    <w:rsid w:val="00D82695"/>
    <w:rsid w:val="00DB03F4"/>
    <w:rsid w:val="00DB16F0"/>
    <w:rsid w:val="00DB61AB"/>
    <w:rsid w:val="00DD16C4"/>
    <w:rsid w:val="00DD335C"/>
    <w:rsid w:val="00DE4B8D"/>
    <w:rsid w:val="00DE650F"/>
    <w:rsid w:val="00DF2DF4"/>
    <w:rsid w:val="00E1146B"/>
    <w:rsid w:val="00E22644"/>
    <w:rsid w:val="00E240BC"/>
    <w:rsid w:val="00E3746B"/>
    <w:rsid w:val="00E406D6"/>
    <w:rsid w:val="00E45601"/>
    <w:rsid w:val="00E46104"/>
    <w:rsid w:val="00E55E05"/>
    <w:rsid w:val="00E7162D"/>
    <w:rsid w:val="00E90F7C"/>
    <w:rsid w:val="00EA275F"/>
    <w:rsid w:val="00ED01C7"/>
    <w:rsid w:val="00EE639F"/>
    <w:rsid w:val="00F06518"/>
    <w:rsid w:val="00F12480"/>
    <w:rsid w:val="00F20FEA"/>
    <w:rsid w:val="00F30F70"/>
    <w:rsid w:val="00F5024C"/>
    <w:rsid w:val="00F6085A"/>
    <w:rsid w:val="00F70DDC"/>
    <w:rsid w:val="00F827AF"/>
    <w:rsid w:val="00FA546B"/>
    <w:rsid w:val="00FB4FC3"/>
    <w:rsid w:val="00FC0153"/>
    <w:rsid w:val="00FD7A59"/>
    <w:rsid w:val="00FE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6C7480DB"/>
  <w15:docId w15:val="{3C39FAA5-28FE-47DE-9FBD-C9562464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B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02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E71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7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E71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7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54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nslation-chunk">
    <w:name w:val="translation-chunk"/>
    <w:basedOn w:val="a0"/>
    <w:rsid w:val="00784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12700">
              <a:solidFill>
                <a:schemeClr val="tx1"/>
              </a:solidFill>
            </a:ln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2008</c:v>
                </c:pt>
                <c:pt idx="1">
                  <c:v>2010</c:v>
                </c:pt>
                <c:pt idx="2">
                  <c:v>2012</c:v>
                </c:pt>
                <c:pt idx="3">
                  <c:v>2014</c:v>
                </c:pt>
                <c:pt idx="4">
                  <c:v>2016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</c:v>
                </c:pt>
                <c:pt idx="1">
                  <c:v>25</c:v>
                </c:pt>
                <c:pt idx="2">
                  <c:v>37</c:v>
                </c:pt>
                <c:pt idx="3">
                  <c:v>38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CD-46F5-9156-5F03A227A1D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blipFill dpi="0" rotWithShape="1">
              <a:blip xmlns:r="http://schemas.openxmlformats.org/officeDocument/2006/relationships" r:embed="rId1"/>
              <a:srcRect/>
              <a:stretch>
                <a:fillRect/>
              </a:stretch>
            </a:blipFill>
            <a:ln w="12700">
              <a:solidFill>
                <a:schemeClr val="tx1"/>
              </a:solidFill>
            </a:ln>
          </c:spPr>
          <c:invertIfNegative val="0"/>
          <c:pictureOptions>
            <c:pictureFormat val="stretch"/>
          </c:pictureOptions>
          <c:cat>
            <c:numRef>
              <c:f>Лист1!$A$2:$A$6</c:f>
              <c:numCache>
                <c:formatCode>General</c:formatCode>
                <c:ptCount val="5"/>
                <c:pt idx="0">
                  <c:v>2008</c:v>
                </c:pt>
                <c:pt idx="1">
                  <c:v>2010</c:v>
                </c:pt>
                <c:pt idx="2">
                  <c:v>2012</c:v>
                </c:pt>
                <c:pt idx="3">
                  <c:v>2014</c:v>
                </c:pt>
                <c:pt idx="4">
                  <c:v>2016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38</c:v>
                </c:pt>
                <c:pt idx="1">
                  <c:v>17</c:v>
                </c:pt>
                <c:pt idx="2">
                  <c:v>52</c:v>
                </c:pt>
                <c:pt idx="3">
                  <c:v>22</c:v>
                </c:pt>
                <c:pt idx="4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CD-46F5-9156-5F03A227A1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9291520"/>
        <c:axId val="79293056"/>
        <c:axId val="0"/>
      </c:bar3DChart>
      <c:catAx>
        <c:axId val="79291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293056"/>
        <c:crosses val="autoZero"/>
        <c:auto val="1"/>
        <c:lblAlgn val="ctr"/>
        <c:lblOffset val="100"/>
        <c:noMultiLvlLbl val="0"/>
      </c:catAx>
      <c:valAx>
        <c:axId val="79293056"/>
        <c:scaling>
          <c:orientation val="minMax"/>
          <c:max val="60"/>
          <c:min val="0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291520"/>
        <c:crosses val="autoZero"/>
        <c:crossBetween val="between"/>
        <c:majorUnit val="20"/>
        <c:minorUnit val="20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 w="19050">
              <a:solidFill>
                <a:schemeClr val="tx1"/>
              </a:solidFill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Кельце Польша</c:v>
                </c:pt>
                <c:pt idx="1">
                  <c:v>Веспрем Венгрия</c:v>
                </c:pt>
                <c:pt idx="2">
                  <c:v>ПСЖ Франция</c:v>
                </c:pt>
                <c:pt idx="3">
                  <c:v>Килль Германия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  <c:pt idx="1">
                  <c:v>42</c:v>
                </c:pt>
                <c:pt idx="2">
                  <c:v>45</c:v>
                </c:pt>
                <c:pt idx="3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3A-49B1-9592-A640455104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4326272"/>
        <c:axId val="84327808"/>
        <c:axId val="0"/>
      </c:bar3DChart>
      <c:catAx>
        <c:axId val="84326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327808"/>
        <c:crosses val="autoZero"/>
        <c:auto val="1"/>
        <c:lblAlgn val="ctr"/>
        <c:lblOffset val="100"/>
        <c:noMultiLvlLbl val="0"/>
      </c:catAx>
      <c:valAx>
        <c:axId val="84327808"/>
        <c:scaling>
          <c:orientation val="minMax"/>
          <c:max val="7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3262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052412683442991E-2"/>
          <c:y val="3.3097055389588535E-2"/>
          <c:w val="0.8871638038759373"/>
          <c:h val="0.694154406112756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Лист1!$A$2:$A$7</c:f>
              <c:strCache>
                <c:ptCount val="6"/>
                <c:pt idx="0">
                  <c:v>Чеховские медведи Чехов</c:v>
                </c:pt>
                <c:pt idx="1">
                  <c:v>Пермские медведи Пермь</c:v>
                </c:pt>
                <c:pt idx="2">
                  <c:v>Нева Санкт-Петербург</c:v>
                </c:pt>
                <c:pt idx="3">
                  <c:v>Динамо Астрахань</c:v>
                </c:pt>
                <c:pt idx="4">
                  <c:v>СГАУ Саратов</c:v>
                </c:pt>
                <c:pt idx="5">
                  <c:v>Динамо Ставрополь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50</c:v>
                </c:pt>
                <c:pt idx="1">
                  <c:v>0</c:v>
                </c:pt>
                <c:pt idx="2">
                  <c:v>17</c:v>
                </c:pt>
                <c:pt idx="3">
                  <c:v>22</c:v>
                </c:pt>
                <c:pt idx="4">
                  <c:v>17</c:v>
                </c:pt>
                <c:pt idx="5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C6-4FA5-82C1-EF98D757A9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2310144"/>
        <c:axId val="92311936"/>
        <c:axId val="0"/>
      </c:bar3DChart>
      <c:catAx>
        <c:axId val="9231014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92311936"/>
        <c:crosses val="autoZero"/>
        <c:auto val="1"/>
        <c:lblAlgn val="ctr"/>
        <c:lblOffset val="100"/>
        <c:noMultiLvlLbl val="0"/>
      </c:catAx>
      <c:valAx>
        <c:axId val="92311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310144"/>
        <c:crosses val="autoZero"/>
        <c:crossBetween val="between"/>
        <c:majorUnit val="10"/>
        <c:minorUnit val="1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53857-6418-4AE7-9F79-5A82B446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8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156</cp:revision>
  <cp:lastPrinted>2016-06-08T13:33:00Z</cp:lastPrinted>
  <dcterms:created xsi:type="dcterms:W3CDTF">2016-04-05T07:14:00Z</dcterms:created>
  <dcterms:modified xsi:type="dcterms:W3CDTF">2020-08-03T10:21:00Z</dcterms:modified>
</cp:coreProperties>
</file>